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rPr>
          <w:rFonts w:hint="eastAsia" w:ascii="方正小标宋_GBK" w:hAnsi="方正小标宋_GBK" w:eastAsia="方正小标宋_GBK" w:cs="方正小标宋_GBK"/>
          <w:color w:val="000000"/>
          <w:sz w:val="44"/>
          <w:lang w:val="en-US" w:eastAsia="zh-CN"/>
        </w:rPr>
      </w:pPr>
      <w:r>
        <w:rPr>
          <w:rFonts w:ascii="方正小标宋_GBK" w:hAnsi="方正小标宋_GBK" w:eastAsia="方正小标宋_GBK" w:cs="方正小标宋_GBK"/>
          <w:color w:val="000000"/>
          <w:sz w:val="44"/>
        </w:rPr>
        <w:t xml:space="preserve"> </w:t>
      </w:r>
      <w:bookmarkStart w:id="0" w:name="_Toc_2_2_0000000001"/>
      <w:r>
        <w:rPr>
          <w:rFonts w:hint="eastAsia" w:ascii="方正小标宋_GBK" w:hAnsi="方正小标宋_GBK" w:eastAsia="方正小标宋_GBK" w:cs="方正小标宋_GBK"/>
          <w:color w:val="000000"/>
          <w:sz w:val="44"/>
          <w:lang w:val="en-US" w:eastAsia="zh-CN"/>
        </w:rPr>
        <w:t>一、霸州市裕华街道办事处本级收支预算</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bookmarkStart w:id="18" w:name="_GoBack"/>
            <w:bookmarkEnd w:id="18"/>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2445.85</w:t>
            </w:r>
          </w:p>
        </w:tc>
        <w:tc>
          <w:tcPr>
            <w:tcW w:w="4535" w:type="dxa"/>
            <w:vAlign w:val="center"/>
          </w:tcPr>
          <w:p>
            <w:pPr>
              <w:pStyle w:val="14"/>
            </w:pPr>
            <w:r>
              <w:t>一、一般公共服务支出</w:t>
            </w:r>
          </w:p>
        </w:tc>
        <w:tc>
          <w:tcPr>
            <w:tcW w:w="2126" w:type="dxa"/>
            <w:vAlign w:val="center"/>
          </w:tcPr>
          <w:p>
            <w:pPr>
              <w:pStyle w:val="13"/>
            </w:pPr>
            <w:r>
              <w:t>2356.85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11696.42</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11777.42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14142.27</w:t>
            </w:r>
          </w:p>
        </w:tc>
        <w:tc>
          <w:tcPr>
            <w:tcW w:w="4535" w:type="dxa"/>
            <w:vAlign w:val="center"/>
          </w:tcPr>
          <w:p>
            <w:pPr>
              <w:pStyle w:val="16"/>
            </w:pPr>
            <w:r>
              <w:t>本年支出合计</w:t>
            </w:r>
          </w:p>
        </w:tc>
        <w:tc>
          <w:tcPr>
            <w:tcW w:w="2126" w:type="dxa"/>
            <w:vAlign w:val="center"/>
          </w:tcPr>
          <w:p>
            <w:pPr>
              <w:pStyle w:val="17"/>
            </w:pPr>
            <w:r>
              <w:t>14142.27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14142.27</w:t>
            </w:r>
          </w:p>
        </w:tc>
        <w:tc>
          <w:tcPr>
            <w:tcW w:w="4535" w:type="dxa"/>
            <w:vAlign w:val="center"/>
          </w:tcPr>
          <w:p>
            <w:pPr>
              <w:pStyle w:val="16"/>
            </w:pPr>
            <w:r>
              <w:t>支出总计</w:t>
            </w:r>
          </w:p>
        </w:tc>
        <w:tc>
          <w:tcPr>
            <w:tcW w:w="2126" w:type="dxa"/>
            <w:vAlign w:val="center"/>
          </w:tcPr>
          <w:p>
            <w:pPr>
              <w:pStyle w:val="17"/>
            </w:pPr>
            <w:r>
              <w:t>14142.27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14142.27</w:t>
            </w:r>
          </w:p>
        </w:tc>
        <w:tc>
          <w:tcPr>
            <w:tcW w:w="1134" w:type="dxa"/>
            <w:vAlign w:val="center"/>
          </w:tcPr>
          <w:p>
            <w:pPr>
              <w:pStyle w:val="17"/>
            </w:pPr>
            <w:r>
              <w:t>14142.27</w:t>
            </w:r>
          </w:p>
        </w:tc>
        <w:tc>
          <w:tcPr>
            <w:tcW w:w="1134" w:type="dxa"/>
            <w:vAlign w:val="center"/>
          </w:tcPr>
          <w:p>
            <w:pPr>
              <w:pStyle w:val="17"/>
            </w:pPr>
            <w:r>
              <w:t>14142.27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2356.85</w:t>
            </w:r>
          </w:p>
        </w:tc>
        <w:tc>
          <w:tcPr>
            <w:tcW w:w="1134" w:type="dxa"/>
            <w:vAlign w:val="center"/>
          </w:tcPr>
          <w:p>
            <w:pPr>
              <w:pStyle w:val="13"/>
            </w:pPr>
            <w:r>
              <w:t>2356.85</w:t>
            </w:r>
          </w:p>
        </w:tc>
        <w:tc>
          <w:tcPr>
            <w:tcW w:w="1134" w:type="dxa"/>
            <w:vAlign w:val="center"/>
          </w:tcPr>
          <w:p>
            <w:pPr>
              <w:pStyle w:val="13"/>
            </w:pPr>
            <w:r>
              <w:t>2356.85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2356.85</w:t>
            </w:r>
          </w:p>
        </w:tc>
        <w:tc>
          <w:tcPr>
            <w:tcW w:w="1134" w:type="dxa"/>
            <w:vAlign w:val="center"/>
          </w:tcPr>
          <w:p>
            <w:pPr>
              <w:pStyle w:val="13"/>
            </w:pPr>
            <w:r>
              <w:t>2356.85</w:t>
            </w:r>
          </w:p>
        </w:tc>
        <w:tc>
          <w:tcPr>
            <w:tcW w:w="1134" w:type="dxa"/>
            <w:vAlign w:val="center"/>
          </w:tcPr>
          <w:p>
            <w:pPr>
              <w:pStyle w:val="13"/>
            </w:pPr>
            <w:r>
              <w:t>2356.85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2340.85</w:t>
            </w:r>
          </w:p>
        </w:tc>
        <w:tc>
          <w:tcPr>
            <w:tcW w:w="1134" w:type="dxa"/>
            <w:vAlign w:val="center"/>
          </w:tcPr>
          <w:p>
            <w:pPr>
              <w:pStyle w:val="13"/>
            </w:pPr>
            <w:r>
              <w:t>2340.85</w:t>
            </w:r>
          </w:p>
        </w:tc>
        <w:tc>
          <w:tcPr>
            <w:tcW w:w="1134" w:type="dxa"/>
            <w:vAlign w:val="center"/>
          </w:tcPr>
          <w:p>
            <w:pPr>
              <w:pStyle w:val="13"/>
            </w:pPr>
            <w:r>
              <w:t>2340.85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2010302</w:t>
            </w:r>
          </w:p>
        </w:tc>
        <w:tc>
          <w:tcPr>
            <w:tcW w:w="1559" w:type="dxa"/>
            <w:vAlign w:val="center"/>
          </w:tcPr>
          <w:p>
            <w:pPr>
              <w:pStyle w:val="14"/>
            </w:pPr>
            <w:r>
              <w:t>一般行政管理事务</w:t>
            </w:r>
          </w:p>
        </w:tc>
        <w:tc>
          <w:tcPr>
            <w:tcW w:w="1134" w:type="dxa"/>
            <w:vAlign w:val="center"/>
          </w:tcPr>
          <w:p>
            <w:pPr>
              <w:pStyle w:val="13"/>
            </w:pPr>
            <w:r>
              <w:t>6.00</w:t>
            </w:r>
          </w:p>
        </w:tc>
        <w:tc>
          <w:tcPr>
            <w:tcW w:w="1134" w:type="dxa"/>
            <w:vAlign w:val="center"/>
          </w:tcPr>
          <w:p>
            <w:pPr>
              <w:pStyle w:val="13"/>
            </w:pPr>
            <w:r>
              <w:t>6.00</w:t>
            </w:r>
          </w:p>
        </w:tc>
        <w:tc>
          <w:tcPr>
            <w:tcW w:w="1134" w:type="dxa"/>
            <w:vAlign w:val="center"/>
          </w:tcPr>
          <w:p>
            <w:pPr>
              <w:pStyle w:val="13"/>
            </w:pPr>
            <w:r>
              <w:t>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11777.42</w:t>
            </w:r>
          </w:p>
        </w:tc>
        <w:tc>
          <w:tcPr>
            <w:tcW w:w="1134" w:type="dxa"/>
            <w:vAlign w:val="center"/>
          </w:tcPr>
          <w:p>
            <w:pPr>
              <w:pStyle w:val="13"/>
            </w:pPr>
            <w:r>
              <w:t>11777.42</w:t>
            </w:r>
          </w:p>
        </w:tc>
        <w:tc>
          <w:tcPr>
            <w:tcW w:w="1134" w:type="dxa"/>
            <w:vAlign w:val="center"/>
          </w:tcPr>
          <w:p>
            <w:pPr>
              <w:pStyle w:val="13"/>
            </w:pPr>
            <w:r>
              <w:t>11777.42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81.00</w:t>
            </w:r>
          </w:p>
        </w:tc>
        <w:tc>
          <w:tcPr>
            <w:tcW w:w="1134" w:type="dxa"/>
            <w:vAlign w:val="center"/>
          </w:tcPr>
          <w:p>
            <w:pPr>
              <w:pStyle w:val="13"/>
            </w:pPr>
            <w:r>
              <w:t>81.00</w:t>
            </w:r>
          </w:p>
        </w:tc>
        <w:tc>
          <w:tcPr>
            <w:tcW w:w="1134" w:type="dxa"/>
            <w:vAlign w:val="center"/>
          </w:tcPr>
          <w:p>
            <w:pPr>
              <w:pStyle w:val="13"/>
            </w:pPr>
            <w:r>
              <w:t>81.00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81.00</w:t>
            </w:r>
          </w:p>
        </w:tc>
        <w:tc>
          <w:tcPr>
            <w:tcW w:w="1134" w:type="dxa"/>
            <w:vAlign w:val="center"/>
          </w:tcPr>
          <w:p>
            <w:pPr>
              <w:pStyle w:val="13"/>
            </w:pPr>
            <w:r>
              <w:t>81.00</w:t>
            </w:r>
          </w:p>
        </w:tc>
        <w:tc>
          <w:tcPr>
            <w:tcW w:w="1134" w:type="dxa"/>
            <w:vAlign w:val="center"/>
          </w:tcPr>
          <w:p>
            <w:pPr>
              <w:pStyle w:val="13"/>
            </w:pPr>
            <w:r>
              <w:t>81.00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11696.42</w:t>
            </w:r>
          </w:p>
        </w:tc>
        <w:tc>
          <w:tcPr>
            <w:tcW w:w="1134" w:type="dxa"/>
            <w:vAlign w:val="center"/>
          </w:tcPr>
          <w:p>
            <w:pPr>
              <w:pStyle w:val="13"/>
            </w:pPr>
            <w:r>
              <w:t>11696.42</w:t>
            </w:r>
          </w:p>
        </w:tc>
        <w:tc>
          <w:tcPr>
            <w:tcW w:w="1134" w:type="dxa"/>
            <w:vAlign w:val="center"/>
          </w:tcPr>
          <w:p>
            <w:pPr>
              <w:pStyle w:val="13"/>
            </w:pPr>
            <w:r>
              <w:t>11696.42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2120802</w:t>
            </w:r>
          </w:p>
        </w:tc>
        <w:tc>
          <w:tcPr>
            <w:tcW w:w="1559" w:type="dxa"/>
            <w:vAlign w:val="center"/>
          </w:tcPr>
          <w:p>
            <w:pPr>
              <w:pStyle w:val="14"/>
            </w:pPr>
            <w:r>
              <w:t>土地开发支出</w:t>
            </w:r>
          </w:p>
        </w:tc>
        <w:tc>
          <w:tcPr>
            <w:tcW w:w="1134" w:type="dxa"/>
            <w:vAlign w:val="center"/>
          </w:tcPr>
          <w:p>
            <w:pPr>
              <w:pStyle w:val="13"/>
            </w:pPr>
            <w:r>
              <w:t>11696.42</w:t>
            </w:r>
          </w:p>
        </w:tc>
        <w:tc>
          <w:tcPr>
            <w:tcW w:w="1134" w:type="dxa"/>
            <w:vAlign w:val="center"/>
          </w:tcPr>
          <w:p>
            <w:pPr>
              <w:pStyle w:val="13"/>
            </w:pPr>
            <w:r>
              <w:t>11696.42</w:t>
            </w:r>
          </w:p>
        </w:tc>
        <w:tc>
          <w:tcPr>
            <w:tcW w:w="1134" w:type="dxa"/>
            <w:vAlign w:val="center"/>
          </w:tcPr>
          <w:p>
            <w:pPr>
              <w:pStyle w:val="13"/>
            </w:pPr>
            <w:r>
              <w:t>11696.42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14142.27</w:t>
            </w:r>
          </w:p>
        </w:tc>
        <w:tc>
          <w:tcPr>
            <w:tcW w:w="1361" w:type="dxa"/>
            <w:vAlign w:val="center"/>
          </w:tcPr>
          <w:p>
            <w:pPr>
              <w:pStyle w:val="17"/>
            </w:pPr>
            <w:r>
              <w:t>2340.85</w:t>
            </w:r>
          </w:p>
        </w:tc>
        <w:tc>
          <w:tcPr>
            <w:tcW w:w="1361" w:type="dxa"/>
            <w:vAlign w:val="center"/>
          </w:tcPr>
          <w:p>
            <w:pPr>
              <w:pStyle w:val="17"/>
            </w:pPr>
            <w:r>
              <w:t>11801.42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2356.85</w:t>
            </w:r>
          </w:p>
        </w:tc>
        <w:tc>
          <w:tcPr>
            <w:tcW w:w="1361" w:type="dxa"/>
            <w:vAlign w:val="center"/>
          </w:tcPr>
          <w:p>
            <w:pPr>
              <w:pStyle w:val="13"/>
            </w:pPr>
            <w:r>
              <w:t>2340.85</w:t>
            </w: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2356.85</w:t>
            </w:r>
          </w:p>
        </w:tc>
        <w:tc>
          <w:tcPr>
            <w:tcW w:w="1361" w:type="dxa"/>
            <w:vAlign w:val="center"/>
          </w:tcPr>
          <w:p>
            <w:pPr>
              <w:pStyle w:val="13"/>
            </w:pPr>
            <w:r>
              <w:t>2340.85</w:t>
            </w: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2340.85</w:t>
            </w:r>
          </w:p>
        </w:tc>
        <w:tc>
          <w:tcPr>
            <w:tcW w:w="1361" w:type="dxa"/>
            <w:vAlign w:val="center"/>
          </w:tcPr>
          <w:p>
            <w:pPr>
              <w:pStyle w:val="13"/>
            </w:pPr>
            <w:r>
              <w:t>2340.85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2010302</w:t>
            </w:r>
          </w:p>
        </w:tc>
        <w:tc>
          <w:tcPr>
            <w:tcW w:w="4535" w:type="dxa"/>
            <w:vAlign w:val="center"/>
          </w:tcPr>
          <w:p>
            <w:pPr>
              <w:pStyle w:val="14"/>
            </w:pPr>
            <w:r>
              <w:t>一般行政管理事务</w:t>
            </w:r>
          </w:p>
        </w:tc>
        <w:tc>
          <w:tcPr>
            <w:tcW w:w="1361" w:type="dxa"/>
            <w:vAlign w:val="center"/>
          </w:tcPr>
          <w:p>
            <w:pPr>
              <w:pStyle w:val="13"/>
            </w:pPr>
            <w:r>
              <w:t>6.00</w:t>
            </w:r>
          </w:p>
        </w:tc>
        <w:tc>
          <w:tcPr>
            <w:tcW w:w="1361" w:type="dxa"/>
            <w:vAlign w:val="center"/>
          </w:tcPr>
          <w:p>
            <w:pPr>
              <w:pStyle w:val="13"/>
            </w:pPr>
          </w:p>
        </w:tc>
        <w:tc>
          <w:tcPr>
            <w:tcW w:w="1361" w:type="dxa"/>
            <w:vAlign w:val="center"/>
          </w:tcPr>
          <w:p>
            <w:pPr>
              <w:pStyle w:val="13"/>
            </w:pPr>
            <w:r>
              <w:t>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2080899</w:t>
            </w:r>
          </w:p>
        </w:tc>
        <w:tc>
          <w:tcPr>
            <w:tcW w:w="4535" w:type="dxa"/>
            <w:vAlign w:val="center"/>
          </w:tcPr>
          <w:p>
            <w:pPr>
              <w:pStyle w:val="14"/>
            </w:pPr>
            <w:r>
              <w:t>其他优抚支出</w:t>
            </w: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11777.42</w:t>
            </w:r>
          </w:p>
        </w:tc>
        <w:tc>
          <w:tcPr>
            <w:tcW w:w="1361" w:type="dxa"/>
            <w:vAlign w:val="center"/>
          </w:tcPr>
          <w:p>
            <w:pPr>
              <w:pStyle w:val="13"/>
            </w:pPr>
          </w:p>
        </w:tc>
        <w:tc>
          <w:tcPr>
            <w:tcW w:w="1361" w:type="dxa"/>
            <w:vAlign w:val="center"/>
          </w:tcPr>
          <w:p>
            <w:pPr>
              <w:pStyle w:val="13"/>
            </w:pPr>
            <w:r>
              <w:t>11777.42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81.00</w:t>
            </w:r>
          </w:p>
        </w:tc>
        <w:tc>
          <w:tcPr>
            <w:tcW w:w="1361" w:type="dxa"/>
            <w:vAlign w:val="center"/>
          </w:tcPr>
          <w:p>
            <w:pPr>
              <w:pStyle w:val="13"/>
            </w:pPr>
          </w:p>
        </w:tc>
        <w:tc>
          <w:tcPr>
            <w:tcW w:w="1361" w:type="dxa"/>
            <w:vAlign w:val="center"/>
          </w:tcPr>
          <w:p>
            <w:pPr>
              <w:pStyle w:val="13"/>
            </w:pPr>
            <w:r>
              <w:t>81.00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81.00</w:t>
            </w:r>
          </w:p>
        </w:tc>
        <w:tc>
          <w:tcPr>
            <w:tcW w:w="1361" w:type="dxa"/>
            <w:vAlign w:val="center"/>
          </w:tcPr>
          <w:p>
            <w:pPr>
              <w:pStyle w:val="13"/>
            </w:pPr>
          </w:p>
        </w:tc>
        <w:tc>
          <w:tcPr>
            <w:tcW w:w="1361" w:type="dxa"/>
            <w:vAlign w:val="center"/>
          </w:tcPr>
          <w:p>
            <w:pPr>
              <w:pStyle w:val="13"/>
            </w:pPr>
            <w:r>
              <w:t>81.00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21208</w:t>
            </w:r>
          </w:p>
        </w:tc>
        <w:tc>
          <w:tcPr>
            <w:tcW w:w="4535" w:type="dxa"/>
            <w:vAlign w:val="center"/>
          </w:tcPr>
          <w:p>
            <w:pPr>
              <w:pStyle w:val="14"/>
            </w:pPr>
            <w:r>
              <w:t>国有土地使用权出让收入安排的支出</w:t>
            </w:r>
          </w:p>
        </w:tc>
        <w:tc>
          <w:tcPr>
            <w:tcW w:w="1361" w:type="dxa"/>
            <w:vAlign w:val="center"/>
          </w:tcPr>
          <w:p>
            <w:pPr>
              <w:pStyle w:val="13"/>
            </w:pPr>
            <w:r>
              <w:t>11696.42</w:t>
            </w:r>
          </w:p>
        </w:tc>
        <w:tc>
          <w:tcPr>
            <w:tcW w:w="1361" w:type="dxa"/>
            <w:vAlign w:val="center"/>
          </w:tcPr>
          <w:p>
            <w:pPr>
              <w:pStyle w:val="13"/>
            </w:pPr>
          </w:p>
        </w:tc>
        <w:tc>
          <w:tcPr>
            <w:tcW w:w="1361" w:type="dxa"/>
            <w:vAlign w:val="center"/>
          </w:tcPr>
          <w:p>
            <w:pPr>
              <w:pStyle w:val="13"/>
            </w:pPr>
            <w:r>
              <w:t>11696.42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2120802</w:t>
            </w:r>
          </w:p>
        </w:tc>
        <w:tc>
          <w:tcPr>
            <w:tcW w:w="4535" w:type="dxa"/>
            <w:vAlign w:val="center"/>
          </w:tcPr>
          <w:p>
            <w:pPr>
              <w:pStyle w:val="14"/>
            </w:pPr>
            <w:r>
              <w:t>土地开发支出</w:t>
            </w:r>
          </w:p>
        </w:tc>
        <w:tc>
          <w:tcPr>
            <w:tcW w:w="1361" w:type="dxa"/>
            <w:vAlign w:val="center"/>
          </w:tcPr>
          <w:p>
            <w:pPr>
              <w:pStyle w:val="13"/>
            </w:pPr>
            <w:r>
              <w:t>11696.42</w:t>
            </w:r>
          </w:p>
        </w:tc>
        <w:tc>
          <w:tcPr>
            <w:tcW w:w="1361" w:type="dxa"/>
            <w:vAlign w:val="center"/>
          </w:tcPr>
          <w:p>
            <w:pPr>
              <w:pStyle w:val="13"/>
            </w:pPr>
          </w:p>
        </w:tc>
        <w:tc>
          <w:tcPr>
            <w:tcW w:w="1361" w:type="dxa"/>
            <w:vAlign w:val="center"/>
          </w:tcPr>
          <w:p>
            <w:pPr>
              <w:pStyle w:val="13"/>
            </w:pPr>
            <w:r>
              <w:t>11696.42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2445.85</w:t>
            </w:r>
          </w:p>
        </w:tc>
        <w:tc>
          <w:tcPr>
            <w:tcW w:w="3402" w:type="dxa"/>
            <w:vAlign w:val="center"/>
          </w:tcPr>
          <w:p>
            <w:pPr>
              <w:pStyle w:val="14"/>
            </w:pPr>
            <w:r>
              <w:t>一、一般公共服务支出</w:t>
            </w:r>
          </w:p>
        </w:tc>
        <w:tc>
          <w:tcPr>
            <w:tcW w:w="1474" w:type="dxa"/>
            <w:vAlign w:val="center"/>
          </w:tcPr>
          <w:p>
            <w:pPr>
              <w:pStyle w:val="13"/>
            </w:pPr>
            <w:r>
              <w:t>2356.85</w:t>
            </w:r>
          </w:p>
        </w:tc>
        <w:tc>
          <w:tcPr>
            <w:tcW w:w="1474" w:type="dxa"/>
            <w:vAlign w:val="center"/>
          </w:tcPr>
          <w:p>
            <w:pPr>
              <w:pStyle w:val="13"/>
            </w:pPr>
            <w:r>
              <w:t>2356.85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11696.42</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5.00</w:t>
            </w:r>
          </w:p>
        </w:tc>
        <w:tc>
          <w:tcPr>
            <w:tcW w:w="1474" w:type="dxa"/>
            <w:vAlign w:val="center"/>
          </w:tcPr>
          <w:p>
            <w:pPr>
              <w:pStyle w:val="13"/>
            </w:pPr>
            <w:r>
              <w:t>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3.00</w:t>
            </w:r>
          </w:p>
        </w:tc>
        <w:tc>
          <w:tcPr>
            <w:tcW w:w="1474" w:type="dxa"/>
            <w:vAlign w:val="center"/>
          </w:tcPr>
          <w:p>
            <w:pPr>
              <w:pStyle w:val="13"/>
            </w:pPr>
            <w:r>
              <w:t>3.00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11777.42</w:t>
            </w:r>
          </w:p>
        </w:tc>
        <w:tc>
          <w:tcPr>
            <w:tcW w:w="1474" w:type="dxa"/>
            <w:vAlign w:val="center"/>
          </w:tcPr>
          <w:p>
            <w:pPr>
              <w:pStyle w:val="13"/>
            </w:pPr>
            <w:r>
              <w:t>81.00</w:t>
            </w:r>
          </w:p>
        </w:tc>
        <w:tc>
          <w:tcPr>
            <w:tcW w:w="1474" w:type="dxa"/>
            <w:vAlign w:val="center"/>
          </w:tcPr>
          <w:p>
            <w:pPr>
              <w:pStyle w:val="13"/>
            </w:pPr>
            <w:r>
              <w:t>11696.42</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14142.27</w:t>
            </w:r>
          </w:p>
        </w:tc>
        <w:tc>
          <w:tcPr>
            <w:tcW w:w="3402" w:type="dxa"/>
            <w:vAlign w:val="center"/>
          </w:tcPr>
          <w:p>
            <w:pPr>
              <w:pStyle w:val="16"/>
            </w:pPr>
            <w:r>
              <w:t>本年支出合计</w:t>
            </w:r>
          </w:p>
        </w:tc>
        <w:tc>
          <w:tcPr>
            <w:tcW w:w="1474" w:type="dxa"/>
            <w:vAlign w:val="center"/>
          </w:tcPr>
          <w:p>
            <w:pPr>
              <w:pStyle w:val="17"/>
            </w:pPr>
            <w:r>
              <w:t>14142.27</w:t>
            </w:r>
          </w:p>
        </w:tc>
        <w:tc>
          <w:tcPr>
            <w:tcW w:w="1474" w:type="dxa"/>
            <w:vAlign w:val="center"/>
          </w:tcPr>
          <w:p>
            <w:pPr>
              <w:pStyle w:val="17"/>
            </w:pPr>
            <w:r>
              <w:t>2445.85</w:t>
            </w:r>
          </w:p>
        </w:tc>
        <w:tc>
          <w:tcPr>
            <w:tcW w:w="1474" w:type="dxa"/>
            <w:vAlign w:val="center"/>
          </w:tcPr>
          <w:p>
            <w:pPr>
              <w:pStyle w:val="17"/>
            </w:pPr>
            <w:r>
              <w:t>11696.42</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14142.27</w:t>
            </w:r>
          </w:p>
        </w:tc>
        <w:tc>
          <w:tcPr>
            <w:tcW w:w="3402" w:type="dxa"/>
            <w:vAlign w:val="center"/>
          </w:tcPr>
          <w:p>
            <w:pPr>
              <w:pStyle w:val="16"/>
            </w:pPr>
            <w:r>
              <w:t>支出总计</w:t>
            </w:r>
          </w:p>
        </w:tc>
        <w:tc>
          <w:tcPr>
            <w:tcW w:w="1474" w:type="dxa"/>
            <w:vAlign w:val="center"/>
          </w:tcPr>
          <w:p>
            <w:pPr>
              <w:pStyle w:val="17"/>
            </w:pPr>
            <w:r>
              <w:t>14142.27</w:t>
            </w:r>
          </w:p>
        </w:tc>
        <w:tc>
          <w:tcPr>
            <w:tcW w:w="1474" w:type="dxa"/>
            <w:vAlign w:val="center"/>
          </w:tcPr>
          <w:p>
            <w:pPr>
              <w:pStyle w:val="17"/>
            </w:pPr>
            <w:r>
              <w:t>2445.85</w:t>
            </w:r>
          </w:p>
        </w:tc>
        <w:tc>
          <w:tcPr>
            <w:tcW w:w="1474" w:type="dxa"/>
            <w:vAlign w:val="center"/>
          </w:tcPr>
          <w:p>
            <w:pPr>
              <w:pStyle w:val="17"/>
            </w:pPr>
            <w:r>
              <w:t>11696.42</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2445.85</w:t>
            </w:r>
          </w:p>
        </w:tc>
        <w:tc>
          <w:tcPr>
            <w:tcW w:w="2551" w:type="dxa"/>
            <w:vAlign w:val="center"/>
          </w:tcPr>
          <w:p>
            <w:pPr>
              <w:pStyle w:val="17"/>
            </w:pPr>
            <w:r>
              <w:t>2340.85</w:t>
            </w:r>
          </w:p>
        </w:tc>
        <w:tc>
          <w:tcPr>
            <w:tcW w:w="2551" w:type="dxa"/>
            <w:vAlign w:val="center"/>
          </w:tcPr>
          <w:p>
            <w:pPr>
              <w:pStyle w:val="17"/>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2356.85</w:t>
            </w:r>
          </w:p>
        </w:tc>
        <w:tc>
          <w:tcPr>
            <w:tcW w:w="2551" w:type="dxa"/>
            <w:vAlign w:val="center"/>
          </w:tcPr>
          <w:p>
            <w:pPr>
              <w:pStyle w:val="13"/>
            </w:pPr>
            <w:r>
              <w:t>2340.85</w:t>
            </w:r>
          </w:p>
        </w:tc>
        <w:tc>
          <w:tcPr>
            <w:tcW w:w="2551" w:type="dxa"/>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2356.85</w:t>
            </w:r>
          </w:p>
        </w:tc>
        <w:tc>
          <w:tcPr>
            <w:tcW w:w="2551" w:type="dxa"/>
            <w:vAlign w:val="center"/>
          </w:tcPr>
          <w:p>
            <w:pPr>
              <w:pStyle w:val="13"/>
            </w:pPr>
            <w:r>
              <w:t>2340.85</w:t>
            </w:r>
          </w:p>
        </w:tc>
        <w:tc>
          <w:tcPr>
            <w:tcW w:w="2551" w:type="dxa"/>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2340.85</w:t>
            </w:r>
          </w:p>
        </w:tc>
        <w:tc>
          <w:tcPr>
            <w:tcW w:w="2551" w:type="dxa"/>
            <w:vAlign w:val="center"/>
          </w:tcPr>
          <w:p>
            <w:pPr>
              <w:pStyle w:val="13"/>
            </w:pPr>
            <w:r>
              <w:t>2340.85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2010302</w:t>
            </w:r>
          </w:p>
        </w:tc>
        <w:tc>
          <w:tcPr>
            <w:tcW w:w="4535" w:type="dxa"/>
            <w:vAlign w:val="center"/>
          </w:tcPr>
          <w:p>
            <w:pPr>
              <w:pStyle w:val="14"/>
            </w:pPr>
            <w:r>
              <w:t>一般行政管理事务</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81.00</w:t>
            </w:r>
          </w:p>
        </w:tc>
        <w:tc>
          <w:tcPr>
            <w:tcW w:w="2551" w:type="dxa"/>
            <w:vAlign w:val="center"/>
          </w:tcPr>
          <w:p>
            <w:pPr>
              <w:pStyle w:val="13"/>
            </w:pPr>
          </w:p>
        </w:tc>
        <w:tc>
          <w:tcPr>
            <w:tcW w:w="2551" w:type="dxa"/>
            <w:vAlign w:val="center"/>
          </w:tcPr>
          <w:p>
            <w:pPr>
              <w:pStyle w:val="13"/>
            </w:pPr>
            <w:r>
              <w:t>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81.00</w:t>
            </w:r>
          </w:p>
        </w:tc>
        <w:tc>
          <w:tcPr>
            <w:tcW w:w="2551" w:type="dxa"/>
            <w:vAlign w:val="center"/>
          </w:tcPr>
          <w:p>
            <w:pPr>
              <w:pStyle w:val="13"/>
            </w:pPr>
          </w:p>
        </w:tc>
        <w:tc>
          <w:tcPr>
            <w:tcW w:w="2551" w:type="dxa"/>
            <w:vAlign w:val="center"/>
          </w:tcPr>
          <w:p>
            <w:pPr>
              <w:pStyle w:val="13"/>
            </w:pPr>
            <w:r>
              <w:t>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81.00</w:t>
            </w:r>
          </w:p>
        </w:tc>
        <w:tc>
          <w:tcPr>
            <w:tcW w:w="2551" w:type="dxa"/>
            <w:vAlign w:val="center"/>
          </w:tcPr>
          <w:p>
            <w:pPr>
              <w:pStyle w:val="13"/>
            </w:pPr>
          </w:p>
        </w:tc>
        <w:tc>
          <w:tcPr>
            <w:tcW w:w="2551" w:type="dxa"/>
            <w:vAlign w:val="center"/>
          </w:tcPr>
          <w:p>
            <w:pPr>
              <w:pStyle w:val="13"/>
            </w:pPr>
            <w:r>
              <w:t>81.00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2340.85</w:t>
            </w:r>
          </w:p>
        </w:tc>
        <w:tc>
          <w:tcPr>
            <w:tcW w:w="2551" w:type="dxa"/>
            <w:vAlign w:val="center"/>
          </w:tcPr>
          <w:p>
            <w:pPr>
              <w:pStyle w:val="17"/>
            </w:pPr>
            <w:r>
              <w:t>2120.83</w:t>
            </w:r>
          </w:p>
        </w:tc>
        <w:tc>
          <w:tcPr>
            <w:tcW w:w="2551" w:type="dxa"/>
            <w:vAlign w:val="center"/>
          </w:tcPr>
          <w:p>
            <w:pPr>
              <w:pStyle w:val="17"/>
            </w:pPr>
            <w:r>
              <w:t>220.02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2071.66</w:t>
            </w:r>
          </w:p>
        </w:tc>
        <w:tc>
          <w:tcPr>
            <w:tcW w:w="2551" w:type="dxa"/>
            <w:vAlign w:val="center"/>
          </w:tcPr>
          <w:p>
            <w:pPr>
              <w:pStyle w:val="13"/>
            </w:pPr>
            <w:r>
              <w:t>2071.66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1190.20</w:t>
            </w:r>
          </w:p>
        </w:tc>
        <w:tc>
          <w:tcPr>
            <w:tcW w:w="2551" w:type="dxa"/>
            <w:vAlign w:val="center"/>
          </w:tcPr>
          <w:p>
            <w:pPr>
              <w:pStyle w:val="13"/>
            </w:pPr>
            <w:r>
              <w:t>1190.20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403.34</w:t>
            </w:r>
          </w:p>
        </w:tc>
        <w:tc>
          <w:tcPr>
            <w:tcW w:w="2551" w:type="dxa"/>
            <w:vAlign w:val="center"/>
          </w:tcPr>
          <w:p>
            <w:pPr>
              <w:pStyle w:val="13"/>
            </w:pPr>
            <w:r>
              <w:t>403.34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478.12</w:t>
            </w:r>
          </w:p>
        </w:tc>
        <w:tc>
          <w:tcPr>
            <w:tcW w:w="2551" w:type="dxa"/>
            <w:vAlign w:val="center"/>
          </w:tcPr>
          <w:p>
            <w:pPr>
              <w:pStyle w:val="13"/>
            </w:pPr>
            <w:r>
              <w:t>478.12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220.02</w:t>
            </w:r>
          </w:p>
        </w:tc>
        <w:tc>
          <w:tcPr>
            <w:tcW w:w="2551" w:type="dxa"/>
            <w:vAlign w:val="center"/>
          </w:tcPr>
          <w:p>
            <w:pPr>
              <w:pStyle w:val="13"/>
            </w:pPr>
          </w:p>
        </w:tc>
        <w:tc>
          <w:tcPr>
            <w:tcW w:w="2551" w:type="dxa"/>
            <w:vAlign w:val="center"/>
          </w:tcPr>
          <w:p>
            <w:pPr>
              <w:pStyle w:val="13"/>
            </w:pPr>
            <w:r>
              <w:t>220.02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14.77</w:t>
            </w:r>
          </w:p>
        </w:tc>
        <w:tc>
          <w:tcPr>
            <w:tcW w:w="2551" w:type="dxa"/>
            <w:vAlign w:val="center"/>
          </w:tcPr>
          <w:p>
            <w:pPr>
              <w:pStyle w:val="13"/>
            </w:pPr>
          </w:p>
        </w:tc>
        <w:tc>
          <w:tcPr>
            <w:tcW w:w="2551" w:type="dxa"/>
            <w:vAlign w:val="center"/>
          </w:tcPr>
          <w:p>
            <w:pPr>
              <w:pStyle w:val="13"/>
            </w:pPr>
            <w:r>
              <w:t>14.77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0.78</w:t>
            </w:r>
          </w:p>
        </w:tc>
        <w:tc>
          <w:tcPr>
            <w:tcW w:w="2551" w:type="dxa"/>
            <w:vAlign w:val="center"/>
          </w:tcPr>
          <w:p>
            <w:pPr>
              <w:pStyle w:val="13"/>
            </w:pPr>
          </w:p>
        </w:tc>
        <w:tc>
          <w:tcPr>
            <w:tcW w:w="2551" w:type="dxa"/>
            <w:vAlign w:val="center"/>
          </w:tcPr>
          <w:p>
            <w:pPr>
              <w:pStyle w:val="13"/>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2.34</w:t>
            </w:r>
          </w:p>
        </w:tc>
        <w:tc>
          <w:tcPr>
            <w:tcW w:w="2551" w:type="dxa"/>
            <w:vAlign w:val="center"/>
          </w:tcPr>
          <w:p>
            <w:pPr>
              <w:pStyle w:val="13"/>
            </w:pPr>
          </w:p>
        </w:tc>
        <w:tc>
          <w:tcPr>
            <w:tcW w:w="2551" w:type="dxa"/>
            <w:vAlign w:val="center"/>
          </w:tcPr>
          <w:p>
            <w:pPr>
              <w:pStyle w:val="13"/>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6.24</w:t>
            </w:r>
          </w:p>
        </w:tc>
        <w:tc>
          <w:tcPr>
            <w:tcW w:w="2551" w:type="dxa"/>
            <w:vAlign w:val="center"/>
          </w:tcPr>
          <w:p>
            <w:pPr>
              <w:pStyle w:val="13"/>
            </w:pPr>
          </w:p>
        </w:tc>
        <w:tc>
          <w:tcPr>
            <w:tcW w:w="2551" w:type="dxa"/>
            <w:vAlign w:val="center"/>
          </w:tcPr>
          <w:p>
            <w:pPr>
              <w:pStyle w:val="13"/>
            </w:pPr>
            <w:r>
              <w:t>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46.49</w:t>
            </w:r>
          </w:p>
        </w:tc>
        <w:tc>
          <w:tcPr>
            <w:tcW w:w="2551" w:type="dxa"/>
            <w:vAlign w:val="center"/>
          </w:tcPr>
          <w:p>
            <w:pPr>
              <w:pStyle w:val="13"/>
            </w:pPr>
          </w:p>
        </w:tc>
        <w:tc>
          <w:tcPr>
            <w:tcW w:w="2551" w:type="dxa"/>
            <w:vAlign w:val="center"/>
          </w:tcPr>
          <w:p>
            <w:pPr>
              <w:pStyle w:val="13"/>
            </w:pPr>
            <w:r>
              <w:t>46.49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21.28</w:t>
            </w:r>
          </w:p>
        </w:tc>
        <w:tc>
          <w:tcPr>
            <w:tcW w:w="2551" w:type="dxa"/>
            <w:vAlign w:val="center"/>
          </w:tcPr>
          <w:p>
            <w:pPr>
              <w:pStyle w:val="13"/>
            </w:pPr>
          </w:p>
        </w:tc>
        <w:tc>
          <w:tcPr>
            <w:tcW w:w="2551" w:type="dxa"/>
            <w:vAlign w:val="center"/>
          </w:tcPr>
          <w:p>
            <w:pPr>
              <w:pStyle w:val="13"/>
            </w:pPr>
            <w:r>
              <w:t>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7.80</w:t>
            </w:r>
          </w:p>
        </w:tc>
        <w:tc>
          <w:tcPr>
            <w:tcW w:w="2551" w:type="dxa"/>
            <w:vAlign w:val="center"/>
          </w:tcPr>
          <w:p>
            <w:pPr>
              <w:pStyle w:val="13"/>
            </w:pPr>
          </w:p>
        </w:tc>
        <w:tc>
          <w:tcPr>
            <w:tcW w:w="2551" w:type="dxa"/>
            <w:vAlign w:val="center"/>
          </w:tcPr>
          <w:p>
            <w:pPr>
              <w:pStyle w:val="13"/>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6.49</w:t>
            </w:r>
          </w:p>
        </w:tc>
        <w:tc>
          <w:tcPr>
            <w:tcW w:w="2551" w:type="dxa"/>
            <w:vAlign w:val="center"/>
          </w:tcPr>
          <w:p>
            <w:pPr>
              <w:pStyle w:val="13"/>
            </w:pPr>
          </w:p>
        </w:tc>
        <w:tc>
          <w:tcPr>
            <w:tcW w:w="2551" w:type="dxa"/>
            <w:vAlign w:val="center"/>
          </w:tcPr>
          <w:p>
            <w:pPr>
              <w:pStyle w:val="13"/>
            </w:pPr>
            <w:r>
              <w:t>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2.34</w:t>
            </w:r>
          </w:p>
        </w:tc>
        <w:tc>
          <w:tcPr>
            <w:tcW w:w="2551" w:type="dxa"/>
            <w:vAlign w:val="center"/>
          </w:tcPr>
          <w:p>
            <w:pPr>
              <w:pStyle w:val="13"/>
            </w:pPr>
          </w:p>
        </w:tc>
        <w:tc>
          <w:tcPr>
            <w:tcW w:w="2551" w:type="dxa"/>
            <w:vAlign w:val="center"/>
          </w:tcPr>
          <w:p>
            <w:pPr>
              <w:pStyle w:val="13"/>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3.81</w:t>
            </w:r>
          </w:p>
        </w:tc>
        <w:tc>
          <w:tcPr>
            <w:tcW w:w="2551" w:type="dxa"/>
            <w:vAlign w:val="center"/>
          </w:tcPr>
          <w:p>
            <w:pPr>
              <w:pStyle w:val="13"/>
            </w:pPr>
          </w:p>
        </w:tc>
        <w:tc>
          <w:tcPr>
            <w:tcW w:w="2551" w:type="dxa"/>
            <w:vAlign w:val="center"/>
          </w:tcPr>
          <w:p>
            <w:pPr>
              <w:pStyle w:val="13"/>
            </w:pPr>
            <w:r>
              <w:t>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0.87</w:t>
            </w:r>
          </w:p>
        </w:tc>
        <w:tc>
          <w:tcPr>
            <w:tcW w:w="2551" w:type="dxa"/>
            <w:vAlign w:val="center"/>
          </w:tcPr>
          <w:p>
            <w:pPr>
              <w:pStyle w:val="13"/>
            </w:pPr>
          </w:p>
        </w:tc>
        <w:tc>
          <w:tcPr>
            <w:tcW w:w="2551" w:type="dxa"/>
            <w:vAlign w:val="center"/>
          </w:tcPr>
          <w:p>
            <w:pPr>
              <w:pStyle w:val="13"/>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18.30</w:t>
            </w:r>
          </w:p>
        </w:tc>
        <w:tc>
          <w:tcPr>
            <w:tcW w:w="2551" w:type="dxa"/>
            <w:vAlign w:val="center"/>
          </w:tcPr>
          <w:p>
            <w:pPr>
              <w:pStyle w:val="13"/>
            </w:pPr>
          </w:p>
        </w:tc>
        <w:tc>
          <w:tcPr>
            <w:tcW w:w="2551" w:type="dxa"/>
            <w:vAlign w:val="center"/>
          </w:tcPr>
          <w:p>
            <w:pPr>
              <w:pStyle w:val="13"/>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11.64</w:t>
            </w:r>
          </w:p>
        </w:tc>
        <w:tc>
          <w:tcPr>
            <w:tcW w:w="2551" w:type="dxa"/>
            <w:vAlign w:val="center"/>
          </w:tcPr>
          <w:p>
            <w:pPr>
              <w:pStyle w:val="13"/>
            </w:pPr>
          </w:p>
        </w:tc>
        <w:tc>
          <w:tcPr>
            <w:tcW w:w="2551" w:type="dxa"/>
            <w:vAlign w:val="center"/>
          </w:tcPr>
          <w:p>
            <w:pPr>
              <w:pStyle w:val="13"/>
            </w:pPr>
            <w:r>
              <w:t>11.64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4.75</w:t>
            </w:r>
          </w:p>
        </w:tc>
        <w:tc>
          <w:tcPr>
            <w:tcW w:w="2551" w:type="dxa"/>
            <w:vAlign w:val="center"/>
          </w:tcPr>
          <w:p>
            <w:pPr>
              <w:pStyle w:val="13"/>
            </w:pPr>
          </w:p>
        </w:tc>
        <w:tc>
          <w:tcPr>
            <w:tcW w:w="2551" w:type="dxa"/>
            <w:vAlign w:val="center"/>
          </w:tcPr>
          <w:p>
            <w:pPr>
              <w:pStyle w:val="13"/>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72.12</w:t>
            </w:r>
          </w:p>
        </w:tc>
        <w:tc>
          <w:tcPr>
            <w:tcW w:w="2551" w:type="dxa"/>
            <w:vAlign w:val="center"/>
          </w:tcPr>
          <w:p>
            <w:pPr>
              <w:pStyle w:val="13"/>
            </w:pPr>
          </w:p>
        </w:tc>
        <w:tc>
          <w:tcPr>
            <w:tcW w:w="2551" w:type="dxa"/>
            <w:vAlign w:val="center"/>
          </w:tcPr>
          <w:p>
            <w:pPr>
              <w:pStyle w:val="13"/>
            </w:pPr>
            <w:r>
              <w:t>72.12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49.17</w:t>
            </w:r>
          </w:p>
        </w:tc>
        <w:tc>
          <w:tcPr>
            <w:tcW w:w="2551" w:type="dxa"/>
            <w:vAlign w:val="center"/>
          </w:tcPr>
          <w:p>
            <w:pPr>
              <w:pStyle w:val="13"/>
            </w:pPr>
            <w:r>
              <w:t>49.17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49.17</w:t>
            </w:r>
          </w:p>
        </w:tc>
        <w:tc>
          <w:tcPr>
            <w:tcW w:w="2551" w:type="dxa"/>
            <w:vAlign w:val="center"/>
          </w:tcPr>
          <w:p>
            <w:pPr>
              <w:pStyle w:val="13"/>
            </w:pPr>
            <w:r>
              <w:t>49.17</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11696.42</w:t>
            </w:r>
          </w:p>
        </w:tc>
        <w:tc>
          <w:tcPr>
            <w:tcW w:w="2551" w:type="dxa"/>
            <w:vAlign w:val="center"/>
          </w:tcPr>
          <w:p>
            <w:pPr>
              <w:pStyle w:val="17"/>
            </w:pPr>
          </w:p>
        </w:tc>
        <w:tc>
          <w:tcPr>
            <w:tcW w:w="2551" w:type="dxa"/>
            <w:vAlign w:val="center"/>
          </w:tcPr>
          <w:p>
            <w:pPr>
              <w:pStyle w:val="17"/>
            </w:pPr>
            <w:r>
              <w:t>11696.42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11696.42</w:t>
            </w:r>
          </w:p>
        </w:tc>
        <w:tc>
          <w:tcPr>
            <w:tcW w:w="2551" w:type="dxa"/>
            <w:vAlign w:val="center"/>
          </w:tcPr>
          <w:p>
            <w:pPr>
              <w:pStyle w:val="13"/>
            </w:pPr>
          </w:p>
        </w:tc>
        <w:tc>
          <w:tcPr>
            <w:tcW w:w="2551" w:type="dxa"/>
            <w:vAlign w:val="center"/>
          </w:tcPr>
          <w:p>
            <w:pPr>
              <w:pStyle w:val="13"/>
            </w:pPr>
            <w:r>
              <w:t>11696.42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21208</w:t>
            </w:r>
          </w:p>
        </w:tc>
        <w:tc>
          <w:tcPr>
            <w:tcW w:w="4535" w:type="dxa"/>
            <w:vAlign w:val="center"/>
          </w:tcPr>
          <w:p>
            <w:pPr>
              <w:pStyle w:val="14"/>
            </w:pPr>
            <w:r>
              <w:t>国有土地使用权出让收入安排的支出</w:t>
            </w:r>
          </w:p>
        </w:tc>
        <w:tc>
          <w:tcPr>
            <w:tcW w:w="2551" w:type="dxa"/>
            <w:vAlign w:val="center"/>
          </w:tcPr>
          <w:p>
            <w:pPr>
              <w:pStyle w:val="13"/>
            </w:pPr>
            <w:r>
              <w:t>11696.42</w:t>
            </w:r>
          </w:p>
        </w:tc>
        <w:tc>
          <w:tcPr>
            <w:tcW w:w="2551" w:type="dxa"/>
            <w:vAlign w:val="center"/>
          </w:tcPr>
          <w:p>
            <w:pPr>
              <w:pStyle w:val="13"/>
            </w:pPr>
          </w:p>
        </w:tc>
        <w:tc>
          <w:tcPr>
            <w:tcW w:w="2551" w:type="dxa"/>
            <w:vAlign w:val="center"/>
          </w:tcPr>
          <w:p>
            <w:pPr>
              <w:pStyle w:val="13"/>
            </w:pPr>
            <w:r>
              <w:t>11696.42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2120802</w:t>
            </w:r>
          </w:p>
        </w:tc>
        <w:tc>
          <w:tcPr>
            <w:tcW w:w="4535" w:type="dxa"/>
            <w:vAlign w:val="center"/>
          </w:tcPr>
          <w:p>
            <w:pPr>
              <w:pStyle w:val="14"/>
            </w:pPr>
            <w:r>
              <w:t>土地开发支出</w:t>
            </w:r>
          </w:p>
        </w:tc>
        <w:tc>
          <w:tcPr>
            <w:tcW w:w="2551" w:type="dxa"/>
            <w:vAlign w:val="center"/>
          </w:tcPr>
          <w:p>
            <w:pPr>
              <w:pStyle w:val="13"/>
            </w:pPr>
            <w:r>
              <w:t>11696.42</w:t>
            </w:r>
          </w:p>
        </w:tc>
        <w:tc>
          <w:tcPr>
            <w:tcW w:w="2551" w:type="dxa"/>
            <w:vAlign w:val="center"/>
          </w:tcPr>
          <w:p>
            <w:pPr>
              <w:pStyle w:val="13"/>
            </w:pPr>
          </w:p>
        </w:tc>
        <w:tc>
          <w:tcPr>
            <w:tcW w:w="2551" w:type="dxa"/>
            <w:vAlign w:val="center"/>
          </w:tcPr>
          <w:p>
            <w:pPr>
              <w:pStyle w:val="13"/>
            </w:pPr>
            <w:r>
              <w:t>11696.42</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t>5.62</w:t>
            </w:r>
          </w:p>
        </w:tc>
        <w:tc>
          <w:tcPr>
            <w:tcW w:w="2381" w:type="dxa"/>
            <w:vAlign w:val="center"/>
          </w:tcPr>
          <w:p>
            <w:pPr>
              <w:pStyle w:val="17"/>
            </w:pPr>
            <w:r>
              <w:t>5.62</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r>
              <w:t>4.75</w:t>
            </w:r>
          </w:p>
        </w:tc>
        <w:tc>
          <w:tcPr>
            <w:tcW w:w="2381" w:type="dxa"/>
            <w:vAlign w:val="center"/>
          </w:tcPr>
          <w:p>
            <w:pPr>
              <w:pStyle w:val="13"/>
            </w:pPr>
            <w:r>
              <w:t>4.75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pPr>
            <w:r>
              <w:t>4.75</w:t>
            </w:r>
          </w:p>
        </w:tc>
        <w:tc>
          <w:tcPr>
            <w:tcW w:w="2381" w:type="dxa"/>
            <w:vAlign w:val="center"/>
          </w:tcPr>
          <w:p>
            <w:pPr>
              <w:pStyle w:val="13"/>
            </w:pPr>
            <w:r>
              <w:t>4.75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r>
              <w:t>0.87</w:t>
            </w:r>
          </w:p>
        </w:tc>
        <w:tc>
          <w:tcPr>
            <w:tcW w:w="2381" w:type="dxa"/>
            <w:vAlign w:val="center"/>
          </w:tcPr>
          <w:p>
            <w:pPr>
              <w:pStyle w:val="13"/>
            </w:pPr>
            <w:r>
              <w:t>0.87</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霸州市裕华街道办事处2022年部门预算信息公开情况说明</w:t>
      </w:r>
    </w:p>
    <w:p>
      <w:pPr>
        <w:jc w:val="center"/>
      </w:pPr>
      <w:r>
        <w:rPr>
          <w:rFonts w:ascii="方正小标宋_GBK" w:hAnsi="方正小标宋_GBK" w:eastAsia="方正小标宋_GBK" w:cs="方正小标宋_GBK"/>
          <w:color w:val="000000"/>
          <w:sz w:val="44"/>
        </w:rPr>
        <w:t>霸州市裕华街道办事处</w:t>
      </w:r>
      <w:r>
        <w:rPr>
          <w:rFonts w:hint="eastAsia" w:ascii="方正小标宋_GBK" w:hAnsi="方正小标宋_GBK" w:eastAsia="方正小标宋_GBK" w:cs="方正小标宋_GBK"/>
          <w:color w:val="000000"/>
          <w:sz w:val="44"/>
          <w:lang w:val="en-US" w:eastAsia="zh-CN"/>
        </w:rPr>
        <w:t>本级</w:t>
      </w: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按照《预算法》、《地方预决算公开操作规程》和《关于进一步推进预算公开工作的实施意见》规定，现将霸州市裕华街道办事处</w:t>
      </w:r>
      <w:r>
        <w:rPr>
          <w:rFonts w:hint="eastAsia" w:eastAsia="方正仿宋_GBK"/>
          <w:color w:val="000000"/>
          <w:sz w:val="28"/>
          <w:lang w:val="en-US" w:eastAsia="zh-CN"/>
        </w:rPr>
        <w:t>本级</w:t>
      </w:r>
      <w:r>
        <w:rPr>
          <w:rFonts w:eastAsia="方正仿宋_GBK"/>
          <w:color w:val="000000"/>
          <w:sz w:val="28"/>
        </w:rPr>
        <w:t>2022年</w:t>
      </w:r>
      <w:r>
        <w:rPr>
          <w:rFonts w:hint="eastAsia" w:eastAsia="方正仿宋_GBK"/>
          <w:color w:val="000000"/>
          <w:sz w:val="28"/>
          <w:lang w:val="en-US"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19"/>
        <w:rPr>
          <w:rFonts w:hint="eastAsia" w:eastAsia="方正仿宋_GBK"/>
          <w:lang w:val="en-US" w:eastAsia="zh-CN"/>
        </w:rPr>
      </w:pPr>
      <w:r>
        <w:t>霸州市裕华街道办事处</w:t>
      </w:r>
      <w:r>
        <w:rPr>
          <w:rFonts w:hint="eastAsia"/>
          <w:lang w:val="en-US" w:eastAsia="zh-CN"/>
        </w:rPr>
        <w:t>本级</w:t>
      </w:r>
    </w:p>
    <w:p>
      <w:pPr>
        <w:pStyle w:val="19"/>
      </w:pPr>
      <w:r>
        <w:t>职能配置、机构设置和人员编制规定</w:t>
      </w:r>
    </w:p>
    <w:p>
      <w:pPr>
        <w:pStyle w:val="19"/>
      </w:pPr>
    </w:p>
    <w:p>
      <w:pPr>
        <w:pStyle w:val="19"/>
      </w:pPr>
      <w:r>
        <w:t>第一条 根据《中共廊坊市委办公室、廊坊市人民政府办公室关于印发＜霸州市深化乡镇和街道改革方案》的通知》（廊办字［2020］10号）有关要求，结合裕华街道实际，制定本规定。</w:t>
      </w:r>
    </w:p>
    <w:p>
      <w:pPr>
        <w:pStyle w:val="19"/>
      </w:pPr>
      <w:r>
        <w:t>第二条 街道党工委是市委的派出机关，根据市委的授权，领导本地区的工作和基层社会治理。街道人大工委是市人大常委会的派出机构，在市人大常委会的直接领导和授权下开展工作，负责办理市人大常委会交办的监督、选举、联系代表以及其他工作，同时接受街道党工委的领导。（街道办事处是市政府的派出机关，依据法律法规的规定和市政府的授权，履行相应的政府职能。街道主要围绕加强党的领导、统筹社区发展、优化公共服务、促进文明建设、强化社会治理、维护公共安全、改善生态环境、指导基层自治等方面履行职能。）</w:t>
      </w:r>
    </w:p>
    <w:p>
      <w:pPr>
        <w:pStyle w:val="19"/>
      </w:pPr>
      <w:r>
        <w:t>第三条 裕华街道党工委，人大工委、办事处主要职责：</w:t>
      </w:r>
    </w:p>
    <w:p>
      <w:pPr>
        <w:pStyle w:val="19"/>
      </w:pPr>
      <w:r>
        <w:t>（一）宣传贯彻执行党的路线方针政策和党中央、上级党组织的决议。贯彻执行法律、法规、规章和上级人民代表大会及其常务委员会决议及上级政府的决定、命令，依法管理辖区公共事务。</w:t>
      </w:r>
    </w:p>
    <w:p>
      <w:pPr>
        <w:pStyle w:val="19"/>
      </w:pPr>
      <w:r>
        <w:t>（二）讨论和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pStyle w:val="19"/>
      </w:pPr>
      <w:r>
        <w:t>（三）负责办理上级人大常委会交办的监督、选举以及其他工作，做好人大代表工作，联系选民、反映群众意见和要求。</w:t>
      </w:r>
    </w:p>
    <w:p>
      <w:pPr>
        <w:pStyle w:val="19"/>
      </w:pPr>
      <w:r>
        <w:t>（四）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pStyle w:val="19"/>
      </w:pPr>
      <w:r>
        <w:t>（五）街道党工委领导群团组织，加强指导和规范，支持和保证群团组织依照国家法律法规以及各自章程履行职责。坚持党管武装的根本原则和制度，协调各方力量，对街道人民武装工作实行统一领导。</w:t>
      </w:r>
    </w:p>
    <w:p>
      <w:pPr>
        <w:pStyle w:val="19"/>
      </w:pPr>
      <w:r>
        <w:t>（六）指导居民委员会等基层群众性自治组织建设，健全自治平台。组织动员社区居民、单位和社会力量参与社区治理，整合辖区内社会力量，形成社区共治合力，为社区发展服务。对社区工作者队伍进行教育管理。</w:t>
      </w:r>
    </w:p>
    <w:p>
      <w:pPr>
        <w:pStyle w:val="19"/>
      </w:pPr>
      <w:r>
        <w:t>（七）按照管理权限，对街道机关及所属单位干部进行教育、培训、选拔、考核和监督，对上级政府职能部门派出机构的工作考核和主要负责同志任免提出意见。</w:t>
      </w:r>
    </w:p>
    <w:p>
      <w:pPr>
        <w:pStyle w:val="19"/>
      </w:pPr>
      <w:r>
        <w:t>（八）组织维护辖区安全稳定，协调推动社会治安综合治理，做好应急管理、民族宗教工作，承担民兵预备役、征兵、退役军人服务、拥军优属、防反邪教等工作。</w:t>
      </w:r>
    </w:p>
    <w:p>
      <w:pPr>
        <w:pStyle w:val="19"/>
      </w:pPr>
      <w:r>
        <w:t>（九）组织开展群众性文化、体育、科普活动，开展法治宣传和社会公德教育，推动社区公益事业发展。维护老年人、妇女未成年人、残疾人等合法权益。</w:t>
      </w:r>
    </w:p>
    <w:p>
      <w:pPr>
        <w:pStyle w:val="19"/>
      </w:pPr>
      <w:r>
        <w:t>（十）参与辖区设施规划、建设和验收，综合管理、统筹调度和考核督办涉及辖区的公共事务，按照有关规定统筹使用下沉到街道社区的人财物等资源。</w:t>
      </w:r>
    </w:p>
    <w:p>
      <w:pPr>
        <w:pStyle w:val="19"/>
      </w:pPr>
      <w:r>
        <w:t>（十一）承办上级党委、人大、政府交办的其他事项。</w:t>
      </w:r>
    </w:p>
    <w:p>
      <w:pPr>
        <w:pStyle w:val="19"/>
      </w:pPr>
      <w:r>
        <w:t>第四条 裕华街道设下列工作机构：</w:t>
      </w:r>
    </w:p>
    <w:p>
      <w:pPr>
        <w:pStyle w:val="19"/>
      </w:pPr>
      <w:r>
        <w:t>（一）党政综合办公室。主要承担街道党工委、办事处日常事务；负责机关内部之间的综合协调、督查考核、文秘信息、保密档案、重要会务及行政后勤管理等工作；负责财务、资产管理等方面工作；负责辖区信访维稳工作；负责辖区统计调查工作；完成街道党工委、办事处交办的其他工作。</w:t>
      </w:r>
    </w:p>
    <w:p>
      <w:pPr>
        <w:pStyle w:val="19"/>
      </w:pPr>
      <w:r>
        <w:t>（二）党建工作办公室（人大工委办公室）。负责党的政治建设、组织建设、思想宣传、精神文明建设、统战、侨务、民族宗教等方面工作；负责落实基层党建责任制，基层服务型党组织建设、区域化党建和“两新”组织党建、居民区党建、党代表联络服务等方面工作；负责人大工委办公室相关工作；负责党员教育管理、干部考核、人事管理、机构编制、老干部管理等方面工作；负责工会、共青团、妇联等方面工作；负责党务公开工作；负责财务内部审计监督工作；完成街道党工委、办事处交办的其他工作。</w:t>
      </w:r>
    </w:p>
    <w:p>
      <w:pPr>
        <w:pStyle w:val="19"/>
      </w:pPr>
      <w:r>
        <w:t>（三）应急管理办公室。加强本辖区生产经营单位安全生产状况的监督检查，协助上级有关部门依法履行安全生产监督管理职责；按职责分工负责农产品质量安全监管工作，加强农产品质量安全知识的宣传，及时上报有关单位和个人报告的农产品质量安全事故；负责本辖区的消防工作、开展消防宣传、防火巡查、隐患查改；指导居民委员会开展群众性的消防工作；负责辖区防汛抗洪、抗旱等相关工作；负责辖区防灾减灾等相关工作；依法做好本辖区的突发事件应对工作，制定本级突发事件应急预案，组织开展应急演练；负责本辖区内自然灾害救助工作；负责辖区应急管理工作，建立健全应急联动机制，严格落实应急管理责任，加强基层综合应急队伍建设和应急保障能力建设；完成街道党工委、办事处交办的其他工作。</w:t>
      </w:r>
    </w:p>
    <w:p>
      <w:pPr>
        <w:pStyle w:val="19"/>
      </w:pPr>
      <w:r>
        <w:t>（四）自然资源和生态环境办公室。按照职责分工负责辖区市容、村容和环境卫生、农村生活污水管理责任；根据本地区的实际，组织开展大气污染、扬尘污染防治工作；落实属地监管责任，做好禁止露天焚烧秸秆工作；按照职责分工负责本辖区河湖的水资源保护、水域岸线管理、水污染防治、水环境治理等工作，协助上级人民政府及其有关部门做好地下水相关管理和监督工作；完成街道党工委、办事处交办的其他工作。</w:t>
      </w:r>
    </w:p>
    <w:p>
      <w:pPr>
        <w:pStyle w:val="19"/>
      </w:pPr>
      <w:r>
        <w:t>（五）综合行政执法队。根据法律法规和省政府授权，承担综合行政执法工作；完成街道党工委、办事处交办的其他工作。</w:t>
      </w:r>
    </w:p>
    <w:p>
      <w:pPr>
        <w:pStyle w:val="19"/>
      </w:pPr>
      <w:r>
        <w:t>（六）行政综合服务中心。根据法律法规和省政府授权，承担辖区行政审批服务工作；负责辖区计划生育、社会保障、民政事务、残疾人保障、法律援助等相关公共服务工作；完成街道党工委、办事处交办的其他工作。</w:t>
      </w:r>
    </w:p>
    <w:p>
      <w:pPr>
        <w:pStyle w:val="19"/>
      </w:pPr>
      <w:r>
        <w:t>（七）社区建设和物业监督管理办公室。负责社区事务管理工作；承担物业管理的监督指导工作，负责指导辖区内业主大会的成立和业主委员会的选举工作；负责辖区经济发展、企业服务相关工作；完成街道党工委、办事处交办的其他工作。</w:t>
      </w:r>
    </w:p>
    <w:p>
      <w:pPr>
        <w:pStyle w:val="19"/>
      </w:pPr>
      <w:r>
        <w:t>（八）退役军人服务站。负责依照法定权限，做好本辖区的征兵、民兵、预备役、国防教育、国民经济动员、人民防空、国防交通、国防设施保护、拥军优属、退役军人服务等工作；完成街道党工委、办事处交办的其他工作。</w:t>
      </w:r>
    </w:p>
    <w:p>
      <w:pPr>
        <w:pStyle w:val="19"/>
      </w:pPr>
      <w:r>
        <w:t>（九）综合文化服务站。负责辖区科技、教育、体育、文化旅游、卫生健康、居家养老服务等方面工作；完成街道党工委、办事处交办的其他工作。</w:t>
      </w:r>
    </w:p>
    <w:p>
      <w:pPr>
        <w:pStyle w:val="19"/>
      </w:pPr>
      <w:r>
        <w:t>（十）综合指挥和信息化网络中心（社会治安综合治理中心）。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街道相关职能机构进行处置，或按程序上报市级综合指挥平台处置；负责辖区信用体系建设、社会综合治理、调解各类纠纷等相关工作；协调辖区法庭，派出所、司法所相关工作；完成街道党工委、办事处交办的其他工作。</w:t>
      </w:r>
    </w:p>
    <w:p>
      <w:pPr>
        <w:pStyle w:val="19"/>
      </w:pPr>
      <w:r>
        <w:t>第五条 裕华街道办事处编制78名（行政编制33名，事业编制45名）。党委委员职数9名，其中：党工委书记1名、副书记2名（含政府正职）。人大主席1名、副主席1-2名；街道办事处领导班子职数4名。积极推进县级公安派出所长由乡镇政府副职兼任。纪委书记1名、副书记1名、党建工作办公室、综合行政执法队、行政综合服务中心设主任（队长）各1名，按副科级干部配备。股级领导职数26名，其中：正股级13名（含纪委副书记、团委书记、妇联主席），副股级13名。另根据上级规定配备专职党委组织员1名（按职级序列掌握），宗教专干1名。</w:t>
      </w:r>
    </w:p>
    <w:p>
      <w:pPr>
        <w:pStyle w:val="19"/>
      </w:pPr>
      <w:r>
        <w:t>第六条 街道纪检、监委、人武部和工会，共青团、妇联等群团组织按有关规定和章程设置。</w:t>
      </w:r>
    </w:p>
    <w:p>
      <w:pPr>
        <w:pStyle w:val="19"/>
      </w:pPr>
      <w:r>
        <w:t>第七条 继续实行派驻体制的公安派出所、税务分局、市场监管分局、司法所等，其机构和力量要纳入街道统一指挥协调，工作考核和主要负责人任免，要听取街道党工委意见。</w:t>
      </w:r>
    </w:p>
    <w:p>
      <w:pPr>
        <w:pStyle w:val="19"/>
      </w:pPr>
      <w:r>
        <w:t>第八条 本规定由中共霸州市委机构编制委员会办公室负责解释，其调整由中共霸州市委机构编制委员会办公室按规定程序办理。</w:t>
      </w:r>
    </w:p>
    <w:p>
      <w:pPr>
        <w:pStyle w:val="19"/>
      </w:pPr>
      <w:r>
        <w:t>第九条 本规定自2020年4月24日起施行。</w:t>
      </w:r>
    </w:p>
    <w:p>
      <w:pPr>
        <w:pStyle w:val="19"/>
      </w:pPr>
    </w:p>
    <w:p>
      <w:pPr>
        <w:pStyle w:val="19"/>
      </w:pPr>
    </w:p>
    <w:p>
      <w:pPr>
        <w:pStyle w:val="19"/>
      </w:pP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霸州市裕华街道办事处本级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市单位</w:t>
      </w:r>
      <w:r>
        <w:rPr>
          <w:rFonts w:eastAsia="方正仿宋_GBK"/>
          <w:color w:val="000000"/>
          <w:sz w:val="28"/>
        </w:rPr>
        <w:t>预算的编制实行综合预算管理，即全部收入和支出都反映在预算中。霸州市裕华街道办事处</w:t>
      </w:r>
      <w:r>
        <w:rPr>
          <w:rFonts w:hint="eastAsia" w:eastAsia="方正仿宋_GBK"/>
          <w:color w:val="000000"/>
          <w:sz w:val="28"/>
          <w:lang w:val="en-US" w:eastAsia="zh-CN"/>
        </w:rPr>
        <w:t>本级</w:t>
      </w:r>
      <w:r>
        <w:rPr>
          <w:rFonts w:eastAsia="方正仿宋_GBK"/>
          <w:color w:val="000000"/>
          <w:sz w:val="28"/>
        </w:rPr>
        <w:t>单位的收支包含在部门预算中。</w:t>
      </w:r>
    </w:p>
    <w:p>
      <w:pPr>
        <w:ind w:firstLine="640"/>
        <w:rPr>
          <w:rFonts w:eastAsia="方正仿宋_GBK"/>
          <w:color w:val="000000"/>
          <w:sz w:val="28"/>
        </w:rPr>
      </w:pPr>
      <w:r>
        <w:rPr>
          <w:rFonts w:hint="eastAsia" w:eastAsia="方正仿宋_GBK"/>
          <w:color w:val="000000"/>
          <w:sz w:val="28"/>
        </w:rPr>
        <w:t>1、收入说明</w:t>
      </w:r>
    </w:p>
    <w:p>
      <w:pPr>
        <w:ind w:firstLine="560" w:firstLineChars="200"/>
        <w:rPr>
          <w:rFonts w:eastAsia="方正仿宋_GBK"/>
          <w:color w:val="000000"/>
          <w:sz w:val="28"/>
        </w:rPr>
      </w:pPr>
      <w:r>
        <w:rPr>
          <w:rFonts w:hint="eastAsia" w:eastAsia="方正仿宋_GBK"/>
          <w:color w:val="000000"/>
          <w:sz w:val="28"/>
        </w:rPr>
        <w:t>反映本</w:t>
      </w:r>
      <w:r>
        <w:rPr>
          <w:rFonts w:hint="eastAsia" w:eastAsia="方正仿宋_GBK"/>
          <w:color w:val="000000"/>
          <w:sz w:val="28"/>
          <w:lang w:val="en-US" w:eastAsia="zh-CN"/>
        </w:rPr>
        <w:t>单位</w:t>
      </w:r>
      <w:r>
        <w:rPr>
          <w:rFonts w:hint="eastAsia" w:eastAsia="方正仿宋_GBK"/>
          <w:color w:val="000000"/>
          <w:sz w:val="28"/>
        </w:rPr>
        <w:t>当年全部收入。2022年预算收入1</w:t>
      </w:r>
      <w:r>
        <w:rPr>
          <w:rFonts w:eastAsia="方正仿宋_GBK"/>
          <w:color w:val="000000"/>
          <w:sz w:val="28"/>
        </w:rPr>
        <w:t>4142.27</w:t>
      </w:r>
      <w:r>
        <w:rPr>
          <w:rFonts w:hint="eastAsia" w:eastAsia="方正仿宋_GBK"/>
          <w:color w:val="000000"/>
          <w:sz w:val="28"/>
        </w:rPr>
        <w:t>万元，其中：一般公共预算收入</w:t>
      </w:r>
      <w:r>
        <w:rPr>
          <w:rFonts w:hint="eastAsia" w:eastAsiaTheme="minorEastAsia"/>
          <w:color w:val="000000"/>
          <w:sz w:val="28"/>
          <w:lang w:eastAsia="zh-CN"/>
        </w:rPr>
        <w:t>2</w:t>
      </w:r>
      <w:r>
        <w:rPr>
          <w:rFonts w:eastAsiaTheme="minorEastAsia"/>
          <w:color w:val="000000"/>
          <w:sz w:val="28"/>
          <w:lang w:eastAsia="zh-CN"/>
        </w:rPr>
        <w:t>445.85</w:t>
      </w:r>
      <w:r>
        <w:rPr>
          <w:rFonts w:hint="eastAsia" w:eastAsia="方正仿宋_GBK"/>
          <w:color w:val="000000"/>
          <w:sz w:val="28"/>
        </w:rPr>
        <w:t>万元，政府性基金预算收入</w:t>
      </w:r>
      <w:r>
        <w:rPr>
          <w:rFonts w:hint="eastAsia" w:eastAsiaTheme="minorEastAsia"/>
          <w:color w:val="000000"/>
          <w:sz w:val="28"/>
          <w:lang w:eastAsia="zh-CN"/>
        </w:rPr>
        <w:t>1</w:t>
      </w:r>
      <w:r>
        <w:rPr>
          <w:rFonts w:eastAsiaTheme="minorEastAsia"/>
          <w:color w:val="000000"/>
          <w:sz w:val="28"/>
          <w:lang w:eastAsia="zh-CN"/>
        </w:rPr>
        <w:t>1696.42</w:t>
      </w:r>
      <w:r>
        <w:rPr>
          <w:rFonts w:hint="eastAsia" w:eastAsia="方正仿宋_GBK"/>
          <w:color w:val="000000"/>
          <w:sz w:val="28"/>
        </w:rPr>
        <w:t>万元，国有资本经营预算收入</w:t>
      </w:r>
      <w:r>
        <w:rPr>
          <w:rFonts w:hint="eastAsia" w:eastAsiaTheme="minorEastAsia"/>
          <w:color w:val="000000"/>
          <w:sz w:val="28"/>
          <w:lang w:eastAsia="zh-CN"/>
        </w:rPr>
        <w:t>0</w:t>
      </w:r>
      <w:r>
        <w:rPr>
          <w:rFonts w:hint="eastAsia" w:eastAsia="方正仿宋_GBK"/>
          <w:color w:val="000000"/>
          <w:sz w:val="28"/>
        </w:rPr>
        <w:t>万元，财政专户管理资金收入</w:t>
      </w:r>
      <w:r>
        <w:rPr>
          <w:rFonts w:hint="eastAsia" w:eastAsiaTheme="minorEastAsia"/>
          <w:color w:val="000000"/>
          <w:sz w:val="28"/>
          <w:lang w:eastAsia="zh-CN"/>
        </w:rPr>
        <w:t>0</w:t>
      </w:r>
      <w:r>
        <w:rPr>
          <w:rFonts w:hint="eastAsia" w:eastAsia="方正仿宋_GBK"/>
          <w:color w:val="000000"/>
          <w:sz w:val="28"/>
        </w:rPr>
        <w:t>万元，上级补助收入</w:t>
      </w:r>
      <w:r>
        <w:rPr>
          <w:rFonts w:hint="eastAsia" w:eastAsiaTheme="minorEastAsia"/>
          <w:color w:val="000000"/>
          <w:sz w:val="28"/>
          <w:lang w:eastAsia="zh-CN"/>
        </w:rPr>
        <w:t>0</w:t>
      </w:r>
      <w:r>
        <w:rPr>
          <w:rFonts w:hint="eastAsia" w:eastAsia="方正仿宋_GBK"/>
          <w:color w:val="000000"/>
          <w:sz w:val="28"/>
        </w:rPr>
        <w:t>万元，事业收入</w:t>
      </w:r>
      <w:r>
        <w:rPr>
          <w:rFonts w:hint="eastAsia" w:eastAsiaTheme="minorEastAsia"/>
          <w:color w:val="000000"/>
          <w:sz w:val="28"/>
          <w:lang w:eastAsia="zh-CN"/>
        </w:rPr>
        <w:t>0</w:t>
      </w:r>
      <w:r>
        <w:rPr>
          <w:rFonts w:hint="eastAsia" w:eastAsia="方正仿宋_GBK"/>
          <w:color w:val="000000"/>
          <w:sz w:val="28"/>
        </w:rPr>
        <w:t>万元，经营收入</w:t>
      </w:r>
      <w:r>
        <w:rPr>
          <w:rFonts w:hint="eastAsia" w:eastAsiaTheme="minorEastAsia"/>
          <w:color w:val="000000"/>
          <w:sz w:val="28"/>
          <w:lang w:eastAsia="zh-CN"/>
        </w:rPr>
        <w:t>0</w:t>
      </w:r>
      <w:r>
        <w:rPr>
          <w:rFonts w:hint="eastAsia" w:eastAsia="方正仿宋_GBK"/>
          <w:color w:val="000000"/>
          <w:sz w:val="28"/>
        </w:rPr>
        <w:t>万元，附属单位上缴收入</w:t>
      </w:r>
      <w:r>
        <w:rPr>
          <w:rFonts w:hint="eastAsia" w:eastAsiaTheme="minorEastAsia"/>
          <w:color w:val="000000"/>
          <w:sz w:val="28"/>
          <w:lang w:eastAsia="zh-CN"/>
        </w:rPr>
        <w:t>0</w:t>
      </w:r>
      <w:r>
        <w:rPr>
          <w:rFonts w:hint="eastAsia" w:eastAsia="方正仿宋_GBK"/>
          <w:color w:val="000000"/>
          <w:sz w:val="28"/>
        </w:rPr>
        <w:t>万元，其他收入</w:t>
      </w:r>
      <w:r>
        <w:rPr>
          <w:rFonts w:hint="eastAsia" w:eastAsiaTheme="minorEastAsia"/>
          <w:color w:val="000000"/>
          <w:sz w:val="28"/>
          <w:lang w:eastAsia="zh-CN"/>
        </w:rPr>
        <w:t>0</w:t>
      </w:r>
      <w:r>
        <w:rPr>
          <w:rFonts w:hint="eastAsia" w:eastAsia="方正仿宋_GBK"/>
          <w:color w:val="000000"/>
          <w:sz w:val="28"/>
        </w:rPr>
        <w:t>万元，上年结转</w:t>
      </w:r>
      <w:r>
        <w:rPr>
          <w:rFonts w:hint="eastAsia" w:eastAsiaTheme="minorEastAsia"/>
          <w:color w:val="000000"/>
          <w:sz w:val="28"/>
          <w:lang w:eastAsia="zh-CN"/>
        </w:rPr>
        <w:t>0</w:t>
      </w:r>
      <w:r>
        <w:rPr>
          <w:rFonts w:hint="eastAsia" w:eastAsia="方正仿宋_GBK"/>
          <w:color w:val="000000"/>
          <w:sz w:val="28"/>
        </w:rPr>
        <w:t>万元。</w:t>
      </w:r>
    </w:p>
    <w:p>
      <w:pPr>
        <w:ind w:firstLine="640"/>
        <w:rPr>
          <w:rFonts w:eastAsia="方正仿宋_GBK"/>
          <w:color w:val="000000"/>
          <w:sz w:val="28"/>
        </w:rPr>
      </w:pPr>
      <w:r>
        <w:rPr>
          <w:rFonts w:hint="eastAsia" w:eastAsia="方正仿宋_GBK"/>
          <w:color w:val="000000"/>
          <w:sz w:val="28"/>
        </w:rPr>
        <w:t>2、支出说明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w:t>
      </w:r>
      <w:r>
        <w:rPr>
          <w:rFonts w:hint="eastAsia" w:asciiTheme="minorEastAsia" w:hAnsiTheme="minorEastAsia" w:eastAsiaTheme="minorEastAsia"/>
          <w:color w:val="000000"/>
          <w:sz w:val="28"/>
          <w:lang w:eastAsia="zh-CN"/>
        </w:rPr>
        <w:t>裕华街道办事处</w:t>
      </w:r>
      <w:r>
        <w:rPr>
          <w:rFonts w:hint="eastAsia" w:asciiTheme="minorEastAsia" w:hAnsiTheme="minorEastAsia" w:eastAsiaTheme="minorEastAsia"/>
          <w:color w:val="000000"/>
          <w:sz w:val="28"/>
          <w:lang w:val="en-US" w:eastAsia="zh-CN"/>
        </w:rPr>
        <w:t>本级</w:t>
      </w:r>
      <w:r>
        <w:rPr>
          <w:rFonts w:hint="eastAsia" w:eastAsia="方正仿宋_GBK"/>
          <w:color w:val="000000"/>
          <w:sz w:val="28"/>
        </w:rPr>
        <w:t>2022年度</w:t>
      </w:r>
      <w:r>
        <w:rPr>
          <w:rFonts w:hint="eastAsia" w:eastAsia="方正仿宋_GBK"/>
          <w:color w:val="000000"/>
          <w:sz w:val="28"/>
          <w:lang w:val="en-US" w:eastAsia="zh-CN"/>
        </w:rPr>
        <w:t>单位</w:t>
      </w:r>
      <w:r>
        <w:rPr>
          <w:rFonts w:hint="eastAsia" w:eastAsia="方正仿宋_GBK"/>
          <w:color w:val="000000"/>
          <w:sz w:val="28"/>
        </w:rPr>
        <w:t>预算中支出预算的总体情况。2022年支出预算</w:t>
      </w:r>
      <w:r>
        <w:rPr>
          <w:rFonts w:hint="eastAsia" w:eastAsiaTheme="minorEastAsia"/>
          <w:color w:val="000000"/>
          <w:sz w:val="28"/>
          <w:lang w:eastAsia="zh-CN"/>
        </w:rPr>
        <w:t>1</w:t>
      </w:r>
      <w:r>
        <w:rPr>
          <w:rFonts w:eastAsiaTheme="minorEastAsia"/>
          <w:color w:val="000000"/>
          <w:sz w:val="28"/>
          <w:lang w:eastAsia="zh-CN"/>
        </w:rPr>
        <w:t>4142.27</w:t>
      </w:r>
      <w:r>
        <w:rPr>
          <w:rFonts w:hint="eastAsia" w:eastAsia="方正仿宋_GBK"/>
          <w:color w:val="000000"/>
          <w:sz w:val="28"/>
        </w:rPr>
        <w:t>万元，其中：基本支出</w:t>
      </w:r>
      <w:r>
        <w:rPr>
          <w:rFonts w:hint="eastAsia" w:eastAsiaTheme="minorEastAsia"/>
          <w:color w:val="000000"/>
          <w:sz w:val="28"/>
          <w:lang w:eastAsia="zh-CN"/>
        </w:rPr>
        <w:t>2</w:t>
      </w:r>
      <w:r>
        <w:rPr>
          <w:rFonts w:eastAsiaTheme="minorEastAsia"/>
          <w:color w:val="000000"/>
          <w:sz w:val="28"/>
          <w:lang w:eastAsia="zh-CN"/>
        </w:rPr>
        <w:t>340.85</w:t>
      </w:r>
      <w:r>
        <w:rPr>
          <w:rFonts w:hint="eastAsia" w:eastAsia="方正仿宋_GBK"/>
          <w:color w:val="000000"/>
          <w:sz w:val="28"/>
        </w:rPr>
        <w:t>万元，包括：人员经费</w:t>
      </w:r>
      <w:r>
        <w:rPr>
          <w:rFonts w:hint="eastAsia" w:eastAsiaTheme="minorEastAsia"/>
          <w:color w:val="000000"/>
          <w:sz w:val="28"/>
          <w:lang w:eastAsia="zh-CN"/>
        </w:rPr>
        <w:t>2</w:t>
      </w:r>
      <w:r>
        <w:rPr>
          <w:rFonts w:eastAsiaTheme="minorEastAsia"/>
          <w:color w:val="000000"/>
          <w:sz w:val="28"/>
          <w:lang w:eastAsia="zh-CN"/>
        </w:rPr>
        <w:t>120.83</w:t>
      </w:r>
      <w:r>
        <w:rPr>
          <w:rFonts w:hint="eastAsia" w:eastAsia="方正仿宋_GBK"/>
          <w:color w:val="000000"/>
          <w:sz w:val="28"/>
        </w:rPr>
        <w:t>万元和日常公用经费</w:t>
      </w:r>
      <w:r>
        <w:rPr>
          <w:rFonts w:hint="eastAsia" w:eastAsiaTheme="minorEastAsia"/>
          <w:color w:val="000000"/>
          <w:sz w:val="28"/>
          <w:lang w:eastAsia="zh-CN"/>
        </w:rPr>
        <w:t>2</w:t>
      </w:r>
      <w:r>
        <w:rPr>
          <w:rFonts w:eastAsiaTheme="minorEastAsia"/>
          <w:color w:val="000000"/>
          <w:sz w:val="28"/>
          <w:lang w:eastAsia="zh-CN"/>
        </w:rPr>
        <w:t>20.02</w:t>
      </w:r>
      <w:r>
        <w:rPr>
          <w:rFonts w:hint="eastAsia" w:eastAsia="方正仿宋_GBK"/>
          <w:color w:val="000000"/>
          <w:sz w:val="28"/>
        </w:rPr>
        <w:t>万元；项目支出</w:t>
      </w:r>
      <w:r>
        <w:rPr>
          <w:rFonts w:hint="eastAsia" w:eastAsiaTheme="minorEastAsia"/>
          <w:color w:val="000000"/>
          <w:sz w:val="28"/>
          <w:lang w:eastAsia="zh-CN"/>
        </w:rPr>
        <w:t>1</w:t>
      </w:r>
      <w:r>
        <w:rPr>
          <w:rFonts w:eastAsiaTheme="minorEastAsia"/>
          <w:color w:val="000000"/>
          <w:sz w:val="28"/>
          <w:lang w:eastAsia="zh-CN"/>
        </w:rPr>
        <w:t>1801.42</w:t>
      </w:r>
      <w:r>
        <w:rPr>
          <w:rFonts w:hint="eastAsia" w:eastAsia="方正仿宋_GBK"/>
          <w:color w:val="000000"/>
          <w:sz w:val="28"/>
        </w:rPr>
        <w:t>万元，主要为区域委托开发清算款、牤牛河带状公园工程回迁安置过渡期补偿款、牤牛河历史文化公园、迎宾道东伸工程回迁安置过渡期补偿款等。</w:t>
      </w:r>
    </w:p>
    <w:p>
      <w:pPr>
        <w:ind w:firstLine="640"/>
        <w:rPr>
          <w:rFonts w:eastAsia="方正仿宋_GBK"/>
          <w:color w:val="000000"/>
          <w:sz w:val="28"/>
        </w:rPr>
      </w:pPr>
      <w:r>
        <w:rPr>
          <w:rFonts w:hint="eastAsia" w:eastAsia="方正仿宋_GBK"/>
          <w:color w:val="000000"/>
          <w:sz w:val="28"/>
        </w:rPr>
        <w:t>3、比上年增减情况</w:t>
      </w:r>
    </w:p>
    <w:p>
      <w:pPr>
        <w:pStyle w:val="20"/>
        <w:rPr>
          <w:color w:val="000000"/>
        </w:rPr>
      </w:pPr>
      <w:r>
        <w:rPr>
          <w:rFonts w:hint="eastAsia"/>
          <w:color w:val="000000"/>
        </w:rPr>
        <w:t>2022年预算收支安排1</w:t>
      </w:r>
      <w:r>
        <w:rPr>
          <w:color w:val="000000"/>
        </w:rPr>
        <w:t>4142.27</w:t>
      </w:r>
      <w:r>
        <w:rPr>
          <w:rFonts w:hint="eastAsia"/>
          <w:color w:val="000000"/>
        </w:rPr>
        <w:t>万元，较2021预算减少2</w:t>
      </w:r>
      <w:r>
        <w:rPr>
          <w:color w:val="000000"/>
        </w:rPr>
        <w:t>0595.8</w:t>
      </w:r>
      <w:r>
        <w:rPr>
          <w:rFonts w:hint="eastAsia"/>
          <w:color w:val="000000"/>
        </w:rPr>
        <w:t>万元，其中：基本支出增加</w:t>
      </w:r>
      <w:r>
        <w:rPr>
          <w:color w:val="000000"/>
        </w:rPr>
        <w:t>119.81</w:t>
      </w:r>
      <w:r>
        <w:rPr>
          <w:rFonts w:hint="eastAsia"/>
          <w:color w:val="000000"/>
        </w:rPr>
        <w:t>万元，主要为增加人员经费支出；项目支出减少2</w:t>
      </w:r>
      <w:r>
        <w:rPr>
          <w:color w:val="000000"/>
        </w:rPr>
        <w:t>0715.61</w:t>
      </w:r>
      <w:r>
        <w:rPr>
          <w:rFonts w:hint="eastAsia"/>
          <w:color w:val="000000"/>
        </w:rPr>
        <w:t>万元，主要为减少区域委托开发清算款项目支出。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rPr>
          <w:color w:val="000000"/>
        </w:rPr>
      </w:pPr>
      <w:r>
        <w:rPr>
          <w:rFonts w:hint="eastAsia"/>
          <w:color w:val="000000"/>
        </w:rPr>
        <w:t>202</w:t>
      </w:r>
      <w:r>
        <w:rPr>
          <w:color w:val="000000"/>
        </w:rPr>
        <w:t>2</w:t>
      </w:r>
      <w:r>
        <w:rPr>
          <w:rFonts w:hint="eastAsia"/>
          <w:color w:val="000000"/>
        </w:rPr>
        <w:t>年，我单位运行经费共计安排</w:t>
      </w:r>
      <w:r>
        <w:rPr>
          <w:color w:val="000000"/>
        </w:rPr>
        <w:t>220.02</w:t>
      </w:r>
      <w:r>
        <w:rPr>
          <w:rFonts w:hint="eastAsia"/>
          <w:color w:val="000000"/>
        </w:rPr>
        <w:t>万元，主要用于办公区的日常维修、办公用房水电费、办公用房取暖费、办公及印刷费，邮电费、差旅费、劳务费、会议费、福利费、办公用房物业管理费、公务用车运行维护费等日常运行支出。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color w:val="000000"/>
        </w:rPr>
      </w:pPr>
      <w:r>
        <w:rPr>
          <w:rFonts w:hint="eastAsia"/>
          <w:color w:val="000000"/>
        </w:rPr>
        <w:t>20</w:t>
      </w:r>
      <w:r>
        <w:rPr>
          <w:color w:val="000000"/>
        </w:rPr>
        <w:t>22</w:t>
      </w:r>
      <w:r>
        <w:rPr>
          <w:rFonts w:hint="eastAsia"/>
          <w:color w:val="000000"/>
        </w:rPr>
        <w:t>年，我</w:t>
      </w:r>
      <w:r>
        <w:rPr>
          <w:rFonts w:hint="eastAsia"/>
          <w:color w:val="000000"/>
          <w:lang w:val="en-US" w:eastAsia="zh-CN"/>
        </w:rPr>
        <w:t>单位</w:t>
      </w:r>
      <w:r>
        <w:rPr>
          <w:rFonts w:hint="eastAsia"/>
          <w:color w:val="000000"/>
        </w:rPr>
        <w:t>“三公”经费预算安排</w:t>
      </w:r>
      <w:r>
        <w:rPr>
          <w:color w:val="000000"/>
        </w:rPr>
        <w:t>5.62</w:t>
      </w:r>
      <w:r>
        <w:rPr>
          <w:rFonts w:hint="eastAsia"/>
          <w:color w:val="000000"/>
        </w:rPr>
        <w:t>万元，其中：因公出国（境）费0万元；公务用车购置及运维费</w:t>
      </w:r>
      <w:r>
        <w:rPr>
          <w:color w:val="000000"/>
        </w:rPr>
        <w:t>4.75</w:t>
      </w:r>
      <w:r>
        <w:rPr>
          <w:rFonts w:hint="eastAsia"/>
          <w:color w:val="000000"/>
        </w:rPr>
        <w:t>万元（其中：公务用车购置费0万元，公务用车运行维护费</w:t>
      </w:r>
      <w:r>
        <w:rPr>
          <w:color w:val="000000"/>
        </w:rPr>
        <w:t>4.75</w:t>
      </w:r>
      <w:r>
        <w:rPr>
          <w:rFonts w:hint="eastAsia"/>
          <w:color w:val="000000"/>
        </w:rPr>
        <w:t>万元)；公务接待费</w:t>
      </w:r>
      <w:r>
        <w:rPr>
          <w:color w:val="000000"/>
        </w:rPr>
        <w:t>0.87</w:t>
      </w:r>
      <w:r>
        <w:rPr>
          <w:rFonts w:hint="eastAsia"/>
          <w:color w:val="000000"/>
        </w:rPr>
        <w:t>万元，较202</w:t>
      </w:r>
      <w:r>
        <w:rPr>
          <w:color w:val="000000"/>
        </w:rPr>
        <w:t>1</w:t>
      </w:r>
      <w:r>
        <w:rPr>
          <w:rFonts w:hint="eastAsia"/>
          <w:color w:val="000000"/>
        </w:rPr>
        <w:t>年“三公”经费减少</w:t>
      </w:r>
      <w:r>
        <w:rPr>
          <w:color w:val="000000"/>
        </w:rPr>
        <w:t>0.3</w:t>
      </w:r>
      <w:r>
        <w:rPr>
          <w:rFonts w:hint="eastAsia"/>
          <w:color w:val="000000"/>
        </w:rPr>
        <w:t>万元，主要是因为因公出国（境）费与202</w:t>
      </w:r>
      <w:r>
        <w:rPr>
          <w:color w:val="000000"/>
        </w:rPr>
        <w:t>1</w:t>
      </w:r>
      <w:r>
        <w:rPr>
          <w:rFonts w:hint="eastAsia"/>
          <w:color w:val="000000"/>
        </w:rPr>
        <w:t>年持平，无增减变化；公务用车运行维护费减少</w:t>
      </w:r>
      <w:r>
        <w:rPr>
          <w:color w:val="000000"/>
        </w:rPr>
        <w:t>0.25</w:t>
      </w:r>
      <w:r>
        <w:rPr>
          <w:rFonts w:hint="eastAsia"/>
          <w:color w:val="000000"/>
        </w:rPr>
        <w:t>万元，减少原因为压缩“三公”经费支出；公务接待费减少0</w:t>
      </w:r>
      <w:r>
        <w:rPr>
          <w:color w:val="000000"/>
        </w:rPr>
        <w:t>.05</w:t>
      </w:r>
      <w:r>
        <w:rPr>
          <w:rFonts w:hint="eastAsia"/>
          <w:color w:val="000000"/>
        </w:rPr>
        <w:t>万元，减少原因为压缩“三公”经费支出。</w:t>
      </w:r>
    </w:p>
    <w:p>
      <w:pPr>
        <w:pStyle w:val="22"/>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 xml:space="preserve"> </w:t>
      </w:r>
    </w:p>
    <w:p>
      <w:pPr>
        <w:ind w:firstLine="560"/>
      </w:pPr>
      <w:r>
        <w:rPr>
          <w:rFonts w:ascii="方正仿宋_GBK" w:hAnsi="方正仿宋_GBK" w:eastAsia="方正仿宋_GBK" w:cs="方正仿宋_GBK"/>
          <w:b/>
          <w:color w:val="000000"/>
          <w:sz w:val="28"/>
        </w:rPr>
        <w:t>1、牤牛河带状公园工程回迁安置过渡期补偿款绩效目标表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1.保障牤牛河带状公园回迁289户过渡期补偿款按期发放到位，确保不因此发生村民上访，维护裕华街道办稳定。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资金发放到位户数（户）</w:t>
            </w:r>
          </w:p>
        </w:tc>
        <w:tc>
          <w:tcPr>
            <w:tcW w:w="2835" w:type="dxa"/>
            <w:vAlign w:val="center"/>
          </w:tcPr>
          <w:p>
            <w:pPr>
              <w:pStyle w:val="14"/>
            </w:pPr>
            <w:r>
              <w:t>过渡期补偿款发放完成户数</w:t>
            </w:r>
          </w:p>
        </w:tc>
        <w:tc>
          <w:tcPr>
            <w:tcW w:w="2551" w:type="dxa"/>
            <w:vAlign w:val="center"/>
          </w:tcPr>
          <w:p>
            <w:pPr>
              <w:pStyle w:val="14"/>
            </w:pPr>
            <w:r>
              <w:t>289户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发生上访事件次数</w:t>
            </w:r>
          </w:p>
        </w:tc>
        <w:tc>
          <w:tcPr>
            <w:tcW w:w="2835" w:type="dxa"/>
            <w:vAlign w:val="center"/>
          </w:tcPr>
          <w:p>
            <w:pPr>
              <w:pStyle w:val="14"/>
            </w:pPr>
            <w:r>
              <w:t>补偿款发放后的拆迁户上访次数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补偿款发放时间</w:t>
            </w:r>
          </w:p>
        </w:tc>
        <w:tc>
          <w:tcPr>
            <w:tcW w:w="2835" w:type="dxa"/>
            <w:vAlign w:val="center"/>
          </w:tcPr>
          <w:p>
            <w:pPr>
              <w:pStyle w:val="14"/>
            </w:pPr>
            <w:r>
              <w:t>补偿款发放时间</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补偿款发放标准</w:t>
            </w:r>
          </w:p>
        </w:tc>
        <w:tc>
          <w:tcPr>
            <w:tcW w:w="2835" w:type="dxa"/>
            <w:vAlign w:val="center"/>
          </w:tcPr>
          <w:p>
            <w:pPr>
              <w:pStyle w:val="14"/>
            </w:pPr>
            <w:r>
              <w:t>补偿款发放标准</w:t>
            </w:r>
          </w:p>
        </w:tc>
        <w:tc>
          <w:tcPr>
            <w:tcW w:w="2551" w:type="dxa"/>
            <w:vAlign w:val="center"/>
          </w:tcPr>
          <w:p>
            <w:pPr>
              <w:pStyle w:val="14"/>
            </w:pPr>
            <w:r>
              <w:t>10元/㎡/月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辖区内社会稳定得到保障程度</w:t>
            </w:r>
          </w:p>
        </w:tc>
        <w:tc>
          <w:tcPr>
            <w:tcW w:w="2835" w:type="dxa"/>
            <w:vAlign w:val="center"/>
          </w:tcPr>
          <w:p>
            <w:pPr>
              <w:pStyle w:val="14"/>
            </w:pPr>
            <w:r>
              <w:t>过渡期款发放后，拆迁户是否得到安抚，维护了社会稳定</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回迁户满意度</w:t>
            </w:r>
          </w:p>
        </w:tc>
        <w:tc>
          <w:tcPr>
            <w:tcW w:w="2835" w:type="dxa"/>
            <w:vAlign w:val="center"/>
          </w:tcPr>
          <w:p>
            <w:pPr>
              <w:pStyle w:val="14"/>
            </w:pPr>
            <w:r>
              <w:t>通过问卷调查，满意和较满意的受益对象占全部调研对象的比例</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2、牤牛河历史文化公园、迎宾道东伸工程回迁安置过渡期补偿款绩效目标表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1.512户回迁户过渡期款能够及时足额发放，避免因此上访事件的发生，维护社会稳定。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资金发放到位户数（户）</w:t>
            </w:r>
          </w:p>
        </w:tc>
        <w:tc>
          <w:tcPr>
            <w:tcW w:w="2835" w:type="dxa"/>
            <w:vAlign w:val="center"/>
          </w:tcPr>
          <w:p>
            <w:pPr>
              <w:pStyle w:val="14"/>
            </w:pPr>
            <w:r>
              <w:t>过渡期补偿款发放完成户数</w:t>
            </w:r>
          </w:p>
        </w:tc>
        <w:tc>
          <w:tcPr>
            <w:tcW w:w="2551" w:type="dxa"/>
            <w:vAlign w:val="center"/>
          </w:tcPr>
          <w:p>
            <w:pPr>
              <w:pStyle w:val="14"/>
            </w:pPr>
            <w:r>
              <w:t>512户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补助资金发放率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补偿款发放标准</w:t>
            </w:r>
          </w:p>
        </w:tc>
        <w:tc>
          <w:tcPr>
            <w:tcW w:w="2835" w:type="dxa"/>
            <w:vAlign w:val="center"/>
          </w:tcPr>
          <w:p>
            <w:pPr>
              <w:pStyle w:val="14"/>
            </w:pPr>
            <w:r>
              <w:t>补偿款发放标准</w:t>
            </w:r>
          </w:p>
        </w:tc>
        <w:tc>
          <w:tcPr>
            <w:tcW w:w="2551" w:type="dxa"/>
            <w:vAlign w:val="center"/>
          </w:tcPr>
          <w:p>
            <w:pPr>
              <w:pStyle w:val="14"/>
            </w:pPr>
            <w:r>
              <w:t>12元/㎡/月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补偿款发放及时足额率</w:t>
            </w:r>
          </w:p>
        </w:tc>
        <w:tc>
          <w:tcPr>
            <w:tcW w:w="2835" w:type="dxa"/>
            <w:vAlign w:val="center"/>
          </w:tcPr>
          <w:p>
            <w:pPr>
              <w:pStyle w:val="14"/>
            </w:pPr>
            <w:r>
              <w:t>补偿款发放及时足额率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补偿款发放时间</w:t>
            </w:r>
          </w:p>
        </w:tc>
        <w:tc>
          <w:tcPr>
            <w:tcW w:w="2835" w:type="dxa"/>
            <w:vAlign w:val="center"/>
          </w:tcPr>
          <w:p>
            <w:pPr>
              <w:pStyle w:val="14"/>
            </w:pPr>
            <w:r>
              <w:t>补偿款发放时间</w:t>
            </w:r>
          </w:p>
        </w:tc>
        <w:tc>
          <w:tcPr>
            <w:tcW w:w="2551" w:type="dxa"/>
            <w:vAlign w:val="center"/>
          </w:tcPr>
          <w:p>
            <w:pPr>
              <w:pStyle w:val="14"/>
            </w:pPr>
            <w:r>
              <w:t>≤2月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拆迁户住房改善程度</w:t>
            </w:r>
          </w:p>
        </w:tc>
        <w:tc>
          <w:tcPr>
            <w:tcW w:w="2835" w:type="dxa"/>
            <w:vAlign w:val="center"/>
          </w:tcPr>
          <w:p>
            <w:pPr>
              <w:pStyle w:val="14"/>
            </w:pPr>
            <w:r>
              <w:t>过渡期款发放后，拆迁户住房改善程度</w:t>
            </w:r>
          </w:p>
        </w:tc>
        <w:tc>
          <w:tcPr>
            <w:tcW w:w="2551" w:type="dxa"/>
            <w:vAlign w:val="center"/>
          </w:tcPr>
          <w:p>
            <w:pPr>
              <w:pStyle w:val="14"/>
            </w:pPr>
            <w:r>
              <w:t>有所改善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回迁户满意程度</w:t>
            </w:r>
          </w:p>
        </w:tc>
        <w:tc>
          <w:tcPr>
            <w:tcW w:w="2835" w:type="dxa"/>
            <w:vAlign w:val="center"/>
          </w:tcPr>
          <w:p>
            <w:pPr>
              <w:pStyle w:val="14"/>
            </w:pPr>
            <w:r>
              <w:t>通过调查，满意和较满意人数占总回迁户的比率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3、“两违”拆除工作经费绩效目标表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对辖区内违章广告牌匾进行拆除</w:t>
            </w:r>
          </w:p>
        </w:tc>
        <w:tc>
          <w:tcPr>
            <w:tcW w:w="2551" w:type="dxa"/>
            <w:vAlign w:val="center"/>
          </w:tcPr>
          <w:p>
            <w:pPr>
              <w:pStyle w:val="14"/>
            </w:pPr>
            <w:r>
              <w:t>≥100处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拆除单层砖混的面积</w:t>
            </w:r>
          </w:p>
        </w:tc>
        <w:tc>
          <w:tcPr>
            <w:tcW w:w="2551" w:type="dxa"/>
            <w:vAlign w:val="center"/>
          </w:tcPr>
          <w:p>
            <w:pPr>
              <w:pStyle w:val="14"/>
            </w:pPr>
            <w:r>
              <w:t>≥2000平方米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项目完成并且验收的时间</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外运拆除建筑垃圾数量（立方米）</w:t>
            </w:r>
          </w:p>
        </w:tc>
        <w:tc>
          <w:tcPr>
            <w:tcW w:w="2835" w:type="dxa"/>
            <w:vAlign w:val="center"/>
          </w:tcPr>
          <w:p>
            <w:pPr>
              <w:pStyle w:val="14"/>
            </w:pPr>
            <w:r>
              <w:t>外运拆除建筑垃圾面积</w:t>
            </w:r>
          </w:p>
        </w:tc>
        <w:tc>
          <w:tcPr>
            <w:tcW w:w="2551" w:type="dxa"/>
            <w:vAlign w:val="center"/>
          </w:tcPr>
          <w:p>
            <w:pPr>
              <w:pStyle w:val="14"/>
            </w:pPr>
            <w:r>
              <w:t>≥4000立方米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拆除单层砖混价格（元/平方米）</w:t>
            </w:r>
          </w:p>
        </w:tc>
        <w:tc>
          <w:tcPr>
            <w:tcW w:w="2835" w:type="dxa"/>
            <w:vAlign w:val="center"/>
          </w:tcPr>
          <w:p>
            <w:pPr>
              <w:pStyle w:val="14"/>
            </w:pPr>
            <w:r>
              <w:t>拆除单层砖混每平米所需资金</w:t>
            </w:r>
          </w:p>
        </w:tc>
        <w:tc>
          <w:tcPr>
            <w:tcW w:w="2551" w:type="dxa"/>
            <w:vAlign w:val="center"/>
          </w:tcPr>
          <w:p>
            <w:pPr>
              <w:pStyle w:val="14"/>
            </w:pPr>
            <w:r>
              <w:t>≤40元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拆除地面混凝土价格（元/平方米）</w:t>
            </w:r>
          </w:p>
        </w:tc>
        <w:tc>
          <w:tcPr>
            <w:tcW w:w="2835" w:type="dxa"/>
            <w:vAlign w:val="center"/>
          </w:tcPr>
          <w:p>
            <w:pPr>
              <w:pStyle w:val="14"/>
            </w:pPr>
            <w:r>
              <w:t>拆除地面混凝土每平米所需资金</w:t>
            </w:r>
          </w:p>
        </w:tc>
        <w:tc>
          <w:tcPr>
            <w:tcW w:w="2551" w:type="dxa"/>
            <w:vAlign w:val="center"/>
          </w:tcPr>
          <w:p>
            <w:pPr>
              <w:pStyle w:val="14"/>
            </w:pPr>
            <w:r>
              <w:t>≤61元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拆除彩板钢结构面积</w:t>
            </w:r>
          </w:p>
        </w:tc>
        <w:tc>
          <w:tcPr>
            <w:tcW w:w="2551" w:type="dxa"/>
            <w:vAlign w:val="center"/>
          </w:tcPr>
          <w:p>
            <w:pPr>
              <w:pStyle w:val="14"/>
            </w:pPr>
            <w:r>
              <w:t>≥3500平方米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拆除工程验收合格率（%）</w:t>
            </w:r>
          </w:p>
        </w:tc>
        <w:tc>
          <w:tcPr>
            <w:tcW w:w="2835" w:type="dxa"/>
            <w:vAlign w:val="center"/>
          </w:tcPr>
          <w:p>
            <w:pPr>
              <w:pStyle w:val="14"/>
            </w:pPr>
            <w:r>
              <w:t>通过验收的两违拆除工程量占计划两违拆除工程总量的比率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拆除违章广告牌价格（元/平方米）</w:t>
            </w:r>
          </w:p>
        </w:tc>
        <w:tc>
          <w:tcPr>
            <w:tcW w:w="2835" w:type="dxa"/>
            <w:vAlign w:val="center"/>
          </w:tcPr>
          <w:p>
            <w:pPr>
              <w:pStyle w:val="14"/>
            </w:pPr>
            <w:r>
              <w:t>拆除违章广告牌每处所需资金</w:t>
            </w:r>
          </w:p>
        </w:tc>
        <w:tc>
          <w:tcPr>
            <w:tcW w:w="2551" w:type="dxa"/>
            <w:vAlign w:val="center"/>
          </w:tcPr>
          <w:p>
            <w:pPr>
              <w:pStyle w:val="14"/>
            </w:pPr>
            <w:r>
              <w:t>≤300元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外运垃圾价格（元/立方米）</w:t>
            </w:r>
          </w:p>
        </w:tc>
        <w:tc>
          <w:tcPr>
            <w:tcW w:w="2835" w:type="dxa"/>
            <w:vAlign w:val="center"/>
          </w:tcPr>
          <w:p>
            <w:pPr>
              <w:pStyle w:val="14"/>
            </w:pPr>
            <w:r>
              <w:t>外运垃圾每立方米所需资金</w:t>
            </w:r>
          </w:p>
        </w:tc>
        <w:tc>
          <w:tcPr>
            <w:tcW w:w="2551" w:type="dxa"/>
            <w:vAlign w:val="center"/>
          </w:tcPr>
          <w:p>
            <w:pPr>
              <w:pStyle w:val="14"/>
            </w:pPr>
            <w:r>
              <w:t>≤30元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其他地面混凝土面积</w:t>
            </w:r>
          </w:p>
        </w:tc>
        <w:tc>
          <w:tcPr>
            <w:tcW w:w="2551" w:type="dxa"/>
            <w:vAlign w:val="center"/>
          </w:tcPr>
          <w:p>
            <w:pPr>
              <w:pStyle w:val="14"/>
            </w:pPr>
            <w:r>
              <w:t>≥5000平方米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拆除彩板钢结构价格（元/平方米）</w:t>
            </w:r>
          </w:p>
        </w:tc>
        <w:tc>
          <w:tcPr>
            <w:tcW w:w="2835" w:type="dxa"/>
            <w:vAlign w:val="center"/>
          </w:tcPr>
          <w:p>
            <w:pPr>
              <w:pStyle w:val="14"/>
            </w:pPr>
            <w:r>
              <w:t>拆除彩板钢结构每平米所需资金</w:t>
            </w:r>
          </w:p>
        </w:tc>
        <w:tc>
          <w:tcPr>
            <w:tcW w:w="2551" w:type="dxa"/>
            <w:vAlign w:val="center"/>
          </w:tcPr>
          <w:p>
            <w:pPr>
              <w:pStyle w:val="14"/>
            </w:pPr>
            <w:r>
              <w:t>≤30元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辖区内人居环境改善提升程度</w:t>
            </w:r>
          </w:p>
        </w:tc>
        <w:tc>
          <w:tcPr>
            <w:tcW w:w="2835" w:type="dxa"/>
            <w:vAlign w:val="center"/>
          </w:tcPr>
          <w:p>
            <w:pPr>
              <w:pStyle w:val="14"/>
            </w:pPr>
            <w:r>
              <w:t>辖区内人居环境改善提升程度</w:t>
            </w:r>
          </w:p>
        </w:tc>
        <w:tc>
          <w:tcPr>
            <w:tcW w:w="2551" w:type="dxa"/>
            <w:vAlign w:val="center"/>
          </w:tcPr>
          <w:p>
            <w:pPr>
              <w:pStyle w:val="14"/>
            </w:pPr>
            <w:r>
              <w:t>长期改善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调查中满意和较满意的受益部门人员人数占全部调查人数的比率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4、“两违”拆除工作经费绩效目标表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重点对办事处辖区内违法、违章建筑进行清理，应在计划时间内完成部分或全杜绝或减少因违建拆除造成的信访问题，将信访矛盾化解在基层，避免对农村人居环境整治整体工作造成影响，保证拆除整改到位，清除违法状态，使办事处人居环境得到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拆除单层砖混的面积</w:t>
            </w:r>
          </w:p>
        </w:tc>
        <w:tc>
          <w:tcPr>
            <w:tcW w:w="2551" w:type="dxa"/>
            <w:vAlign w:val="center"/>
          </w:tcPr>
          <w:p>
            <w:pPr>
              <w:pStyle w:val="14"/>
            </w:pPr>
            <w:r>
              <w:t>≥1500平方米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拆除彩板钢结构面积</w:t>
            </w:r>
          </w:p>
        </w:tc>
        <w:tc>
          <w:tcPr>
            <w:tcW w:w="2551" w:type="dxa"/>
            <w:vAlign w:val="center"/>
          </w:tcPr>
          <w:p>
            <w:pPr>
              <w:pStyle w:val="14"/>
            </w:pPr>
            <w:r>
              <w:t>≥2500平方米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两违拆除面积（平方米）</w:t>
            </w:r>
          </w:p>
        </w:tc>
        <w:tc>
          <w:tcPr>
            <w:tcW w:w="2835" w:type="dxa"/>
            <w:vAlign w:val="center"/>
          </w:tcPr>
          <w:p>
            <w:pPr>
              <w:pStyle w:val="14"/>
            </w:pPr>
            <w:r>
              <w:t>其他地面混凝土面积</w:t>
            </w:r>
          </w:p>
        </w:tc>
        <w:tc>
          <w:tcPr>
            <w:tcW w:w="2551" w:type="dxa"/>
            <w:vAlign w:val="center"/>
          </w:tcPr>
          <w:p>
            <w:pPr>
              <w:pStyle w:val="14"/>
            </w:pPr>
            <w:r>
              <w:t>≥1000平方米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外运拆除建筑垃圾数量（立方米）</w:t>
            </w:r>
          </w:p>
        </w:tc>
        <w:tc>
          <w:tcPr>
            <w:tcW w:w="2835" w:type="dxa"/>
            <w:vAlign w:val="center"/>
          </w:tcPr>
          <w:p>
            <w:pPr>
              <w:pStyle w:val="14"/>
            </w:pPr>
            <w:r>
              <w:t>外运拆除建筑垃圾面积</w:t>
            </w:r>
          </w:p>
        </w:tc>
        <w:tc>
          <w:tcPr>
            <w:tcW w:w="2551" w:type="dxa"/>
            <w:vAlign w:val="center"/>
          </w:tcPr>
          <w:p>
            <w:pPr>
              <w:pStyle w:val="14"/>
            </w:pPr>
            <w:r>
              <w:t>≥3000立方米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拆除工程验收合格率（%）</w:t>
            </w:r>
          </w:p>
        </w:tc>
        <w:tc>
          <w:tcPr>
            <w:tcW w:w="2835" w:type="dxa"/>
            <w:vAlign w:val="center"/>
          </w:tcPr>
          <w:p>
            <w:pPr>
              <w:pStyle w:val="14"/>
            </w:pPr>
            <w:r>
              <w:t>通过验收的两违拆除工程量占计划两违拆除工程总量的比率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项目完成并且验收的时间</w:t>
            </w:r>
          </w:p>
        </w:tc>
        <w:tc>
          <w:tcPr>
            <w:tcW w:w="2551" w:type="dxa"/>
            <w:vAlign w:val="center"/>
          </w:tcPr>
          <w:p>
            <w:pPr>
              <w:pStyle w:val="14"/>
            </w:pPr>
            <w:r>
              <w:t>≤4月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拆除单层砖混价格（元/平方米）</w:t>
            </w:r>
          </w:p>
        </w:tc>
        <w:tc>
          <w:tcPr>
            <w:tcW w:w="2835" w:type="dxa"/>
            <w:vAlign w:val="center"/>
          </w:tcPr>
          <w:p>
            <w:pPr>
              <w:pStyle w:val="14"/>
            </w:pPr>
            <w:r>
              <w:t>拆除单层砖混每平米所需资金</w:t>
            </w:r>
          </w:p>
        </w:tc>
        <w:tc>
          <w:tcPr>
            <w:tcW w:w="2551" w:type="dxa"/>
            <w:vAlign w:val="center"/>
          </w:tcPr>
          <w:p>
            <w:pPr>
              <w:pStyle w:val="14"/>
            </w:pPr>
            <w:r>
              <w:t>≤30元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拆除彩板钢结构价格（元/平方米）</w:t>
            </w:r>
          </w:p>
        </w:tc>
        <w:tc>
          <w:tcPr>
            <w:tcW w:w="2835" w:type="dxa"/>
            <w:vAlign w:val="center"/>
          </w:tcPr>
          <w:p>
            <w:pPr>
              <w:pStyle w:val="14"/>
            </w:pPr>
            <w:r>
              <w:t>拆除彩板钢结构每平米所需资金</w:t>
            </w:r>
          </w:p>
        </w:tc>
        <w:tc>
          <w:tcPr>
            <w:tcW w:w="2551" w:type="dxa"/>
            <w:vAlign w:val="center"/>
          </w:tcPr>
          <w:p>
            <w:pPr>
              <w:pStyle w:val="14"/>
            </w:pPr>
            <w:r>
              <w:t>≤20元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拆除地面混凝土价格（元/平方米）</w:t>
            </w:r>
          </w:p>
        </w:tc>
        <w:tc>
          <w:tcPr>
            <w:tcW w:w="2835" w:type="dxa"/>
            <w:vAlign w:val="center"/>
          </w:tcPr>
          <w:p>
            <w:pPr>
              <w:pStyle w:val="14"/>
            </w:pPr>
            <w:r>
              <w:t>拆除地面混凝土每平米所需资金</w:t>
            </w:r>
          </w:p>
        </w:tc>
        <w:tc>
          <w:tcPr>
            <w:tcW w:w="2551" w:type="dxa"/>
            <w:vAlign w:val="center"/>
          </w:tcPr>
          <w:p>
            <w:pPr>
              <w:pStyle w:val="14"/>
            </w:pPr>
            <w:r>
              <w:t>≤30元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外运垃圾价格（元/立方米）</w:t>
            </w:r>
          </w:p>
        </w:tc>
        <w:tc>
          <w:tcPr>
            <w:tcW w:w="2835" w:type="dxa"/>
            <w:vAlign w:val="center"/>
          </w:tcPr>
          <w:p>
            <w:pPr>
              <w:pStyle w:val="14"/>
            </w:pPr>
            <w:r>
              <w:t>外运垃圾每立方米所需资金</w:t>
            </w:r>
          </w:p>
        </w:tc>
        <w:tc>
          <w:tcPr>
            <w:tcW w:w="2551" w:type="dxa"/>
            <w:vAlign w:val="center"/>
          </w:tcPr>
          <w:p>
            <w:pPr>
              <w:pStyle w:val="14"/>
            </w:pPr>
            <w:r>
              <w:t>≤15元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辖区内人居环境改善提升程度</w:t>
            </w:r>
          </w:p>
        </w:tc>
        <w:tc>
          <w:tcPr>
            <w:tcW w:w="2835" w:type="dxa"/>
            <w:vAlign w:val="center"/>
          </w:tcPr>
          <w:p>
            <w:pPr>
              <w:pStyle w:val="14"/>
            </w:pPr>
            <w:r>
              <w:t>辖区内人居环境改善提升程度</w:t>
            </w:r>
          </w:p>
        </w:tc>
        <w:tc>
          <w:tcPr>
            <w:tcW w:w="2551" w:type="dxa"/>
            <w:vAlign w:val="center"/>
          </w:tcPr>
          <w:p>
            <w:pPr>
              <w:pStyle w:val="14"/>
            </w:pPr>
            <w:r>
              <w:t>长期改善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调查中满意和较满意的受益部门人员人数占全部调查人数的比率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1.做好文化站免费开放工作，组织5次文化演出进社区活动，满足基层人民群众的文化需求，提升公共服务水平及人民群众满意度。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组织文化演出次数</w:t>
            </w:r>
          </w:p>
        </w:tc>
        <w:tc>
          <w:tcPr>
            <w:tcW w:w="2835" w:type="dxa"/>
            <w:vAlign w:val="center"/>
          </w:tcPr>
          <w:p>
            <w:pPr>
              <w:pStyle w:val="14"/>
            </w:pPr>
            <w:r>
              <w:t>组织文化演出次数</w:t>
            </w:r>
          </w:p>
        </w:tc>
        <w:tc>
          <w:tcPr>
            <w:tcW w:w="2551" w:type="dxa"/>
            <w:vAlign w:val="center"/>
          </w:tcPr>
          <w:p>
            <w:pPr>
              <w:pStyle w:val="14"/>
            </w:pPr>
            <w:r>
              <w:t>5次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群众参与免费开放文化演出活动人次</w:t>
            </w:r>
          </w:p>
        </w:tc>
        <w:tc>
          <w:tcPr>
            <w:tcW w:w="2835" w:type="dxa"/>
            <w:vAlign w:val="center"/>
          </w:tcPr>
          <w:p>
            <w:pPr>
              <w:pStyle w:val="14"/>
            </w:pPr>
            <w:r>
              <w:t>社区群众参与免费开放文化演出活动人次</w:t>
            </w:r>
          </w:p>
        </w:tc>
        <w:tc>
          <w:tcPr>
            <w:tcW w:w="2551" w:type="dxa"/>
            <w:vAlign w:val="center"/>
          </w:tcPr>
          <w:p>
            <w:pPr>
              <w:pStyle w:val="14"/>
            </w:pPr>
            <w:r>
              <w:t>≥2000人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每次文化演出所需费用</w:t>
            </w:r>
          </w:p>
        </w:tc>
        <w:tc>
          <w:tcPr>
            <w:tcW w:w="2835" w:type="dxa"/>
            <w:vAlign w:val="center"/>
          </w:tcPr>
          <w:p>
            <w:pPr>
              <w:pStyle w:val="14"/>
            </w:pPr>
            <w:r>
              <w:t>每次文化演出所需费用</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举办文化活动较上年增长率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社区群众参与活动较上年增长率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文化演出活动完成时间</w:t>
            </w:r>
          </w:p>
        </w:tc>
        <w:tc>
          <w:tcPr>
            <w:tcW w:w="2835" w:type="dxa"/>
            <w:vAlign w:val="center"/>
          </w:tcPr>
          <w:p>
            <w:pPr>
              <w:pStyle w:val="14"/>
            </w:pPr>
            <w:r>
              <w:t>文化演出活动完成时间</w:t>
            </w:r>
          </w:p>
        </w:tc>
        <w:tc>
          <w:tcPr>
            <w:tcW w:w="2551" w:type="dxa"/>
            <w:vAlign w:val="center"/>
          </w:tcPr>
          <w:p>
            <w:pPr>
              <w:pStyle w:val="14"/>
            </w:pPr>
            <w:r>
              <w:t>≤8月份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文化站免费开放正常运转</w:t>
            </w:r>
          </w:p>
        </w:tc>
        <w:tc>
          <w:tcPr>
            <w:tcW w:w="2835" w:type="dxa"/>
            <w:vAlign w:val="center"/>
          </w:tcPr>
          <w:p>
            <w:pPr>
              <w:pStyle w:val="14"/>
            </w:pPr>
            <w:r>
              <w:t>文化站免费开放是否正常运转</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受益群众对免费开放场馆（站）服务满意人数占总人数的比率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6、关于提前下达2022年中央补助地方美术馆 公共图书馆 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1.做好文化站免费开放工作，组织5次文化演出进社区活动，满足基层人民群众的文化需求，提升公共服务水平及人民群众满意度。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组织文化演出次数</w:t>
            </w:r>
          </w:p>
        </w:tc>
        <w:tc>
          <w:tcPr>
            <w:tcW w:w="2835" w:type="dxa"/>
            <w:vAlign w:val="center"/>
          </w:tcPr>
          <w:p>
            <w:pPr>
              <w:pStyle w:val="14"/>
            </w:pPr>
            <w:r>
              <w:t>组织文化演出次数</w:t>
            </w:r>
          </w:p>
        </w:tc>
        <w:tc>
          <w:tcPr>
            <w:tcW w:w="2551" w:type="dxa"/>
            <w:vAlign w:val="center"/>
          </w:tcPr>
          <w:p>
            <w:pPr>
              <w:pStyle w:val="14"/>
            </w:pPr>
            <w:r>
              <w:t>5次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群众参与免费开放文化演出活动人次</w:t>
            </w:r>
          </w:p>
        </w:tc>
        <w:tc>
          <w:tcPr>
            <w:tcW w:w="2835" w:type="dxa"/>
            <w:vAlign w:val="center"/>
          </w:tcPr>
          <w:p>
            <w:pPr>
              <w:pStyle w:val="14"/>
            </w:pPr>
            <w:r>
              <w:t>社区群众参与免费开放文化演出活动人次</w:t>
            </w:r>
          </w:p>
        </w:tc>
        <w:tc>
          <w:tcPr>
            <w:tcW w:w="2551" w:type="dxa"/>
            <w:vAlign w:val="center"/>
          </w:tcPr>
          <w:p>
            <w:pPr>
              <w:pStyle w:val="14"/>
            </w:pPr>
            <w:r>
              <w:t>≥2000人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每次文化演出所需费用</w:t>
            </w:r>
          </w:p>
        </w:tc>
        <w:tc>
          <w:tcPr>
            <w:tcW w:w="2835" w:type="dxa"/>
            <w:vAlign w:val="center"/>
          </w:tcPr>
          <w:p>
            <w:pPr>
              <w:pStyle w:val="14"/>
            </w:pPr>
            <w:r>
              <w:t>每次文化演出所需费用</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举办文化活动较上年增长率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社区群众参与活动较上年增长率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文化演出活动完成时间</w:t>
            </w:r>
          </w:p>
        </w:tc>
        <w:tc>
          <w:tcPr>
            <w:tcW w:w="2835" w:type="dxa"/>
            <w:vAlign w:val="center"/>
          </w:tcPr>
          <w:p>
            <w:pPr>
              <w:pStyle w:val="14"/>
            </w:pPr>
            <w:r>
              <w:t>文化演出活动完成时间</w:t>
            </w:r>
          </w:p>
        </w:tc>
        <w:tc>
          <w:tcPr>
            <w:tcW w:w="2551" w:type="dxa"/>
            <w:vAlign w:val="center"/>
          </w:tcPr>
          <w:p>
            <w:pPr>
              <w:pStyle w:val="14"/>
            </w:pPr>
            <w:r>
              <w:t>≤8月份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文化站免费开放正常运转</w:t>
            </w:r>
          </w:p>
        </w:tc>
        <w:tc>
          <w:tcPr>
            <w:tcW w:w="2835" w:type="dxa"/>
            <w:vAlign w:val="center"/>
          </w:tcPr>
          <w:p>
            <w:pPr>
              <w:pStyle w:val="14"/>
            </w:pPr>
            <w:r>
              <w:t>文化站免费开放是否正常运转</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受益群众对免费开放场馆（站）服务满意人数占总人数的比率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7、区域委托开发清算款绩效目标表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1.通过竟拍土地100余亩后，按照约定，支付结算资金10000万元，用于委托区域内的基础设施建设，优化招商环境。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竟拍土地面积（亩）</w:t>
            </w:r>
          </w:p>
        </w:tc>
        <w:tc>
          <w:tcPr>
            <w:tcW w:w="2835" w:type="dxa"/>
            <w:vAlign w:val="center"/>
          </w:tcPr>
          <w:p>
            <w:pPr>
              <w:pStyle w:val="14"/>
            </w:pPr>
            <w:r>
              <w:t>实际竟拍土地面积数量</w:t>
            </w:r>
          </w:p>
        </w:tc>
        <w:tc>
          <w:tcPr>
            <w:tcW w:w="2551" w:type="dxa"/>
            <w:vAlign w:val="center"/>
          </w:tcPr>
          <w:p>
            <w:pPr>
              <w:pStyle w:val="14"/>
            </w:pPr>
            <w:r>
              <w:t>≥100亩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年度项目完成率</w:t>
            </w:r>
          </w:p>
        </w:tc>
        <w:tc>
          <w:tcPr>
            <w:tcW w:w="2835" w:type="dxa"/>
            <w:vAlign w:val="center"/>
          </w:tcPr>
          <w:p>
            <w:pPr>
              <w:pStyle w:val="14"/>
            </w:pPr>
            <w:r>
              <w:t>年度实际完成项目内容占年度计划完成项目数量的比例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竞拍完成时间</w:t>
            </w:r>
          </w:p>
        </w:tc>
        <w:tc>
          <w:tcPr>
            <w:tcW w:w="2835" w:type="dxa"/>
            <w:vAlign w:val="center"/>
          </w:tcPr>
          <w:p>
            <w:pPr>
              <w:pStyle w:val="14"/>
            </w:pPr>
            <w:r>
              <w:t>竞拍完成时间</w:t>
            </w:r>
          </w:p>
        </w:tc>
        <w:tc>
          <w:tcPr>
            <w:tcW w:w="2551" w:type="dxa"/>
            <w:vAlign w:val="center"/>
          </w:tcPr>
          <w:p>
            <w:pPr>
              <w:pStyle w:val="14"/>
            </w:pPr>
            <w:r>
              <w:t>≤8月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清算款拨付时间</w:t>
            </w:r>
          </w:p>
        </w:tc>
        <w:tc>
          <w:tcPr>
            <w:tcW w:w="2835" w:type="dxa"/>
            <w:vAlign w:val="center"/>
          </w:tcPr>
          <w:p>
            <w:pPr>
              <w:pStyle w:val="14"/>
            </w:pPr>
            <w:r>
              <w:t>清算款拨付时间</w:t>
            </w:r>
          </w:p>
        </w:tc>
        <w:tc>
          <w:tcPr>
            <w:tcW w:w="2551" w:type="dxa"/>
            <w:vAlign w:val="center"/>
          </w:tcPr>
          <w:p>
            <w:pPr>
              <w:pStyle w:val="14"/>
            </w:pPr>
            <w:r>
              <w:t>≤10月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区域委托开发清算款拨付数量</w:t>
            </w:r>
          </w:p>
        </w:tc>
        <w:tc>
          <w:tcPr>
            <w:tcW w:w="2835" w:type="dxa"/>
            <w:vAlign w:val="center"/>
          </w:tcPr>
          <w:p>
            <w:pPr>
              <w:pStyle w:val="14"/>
            </w:pPr>
            <w:r>
              <w:t>实际拨付区域委托开发清算款的数量</w:t>
            </w:r>
          </w:p>
        </w:tc>
        <w:tc>
          <w:tcPr>
            <w:tcW w:w="2551" w:type="dxa"/>
            <w:vAlign w:val="center"/>
          </w:tcPr>
          <w:p>
            <w:pPr>
              <w:pStyle w:val="14"/>
            </w:pPr>
            <w:r>
              <w:t>10000万元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优化招商环境</w:t>
            </w:r>
          </w:p>
        </w:tc>
        <w:tc>
          <w:tcPr>
            <w:tcW w:w="2835" w:type="dxa"/>
            <w:vAlign w:val="center"/>
          </w:tcPr>
          <w:p>
            <w:pPr>
              <w:pStyle w:val="14"/>
            </w:pPr>
            <w:r>
              <w:t>提升区域形象，优化招商环境</w:t>
            </w:r>
          </w:p>
        </w:tc>
        <w:tc>
          <w:tcPr>
            <w:tcW w:w="2551" w:type="dxa"/>
            <w:vAlign w:val="center"/>
          </w:tcPr>
          <w:p>
            <w:pPr>
              <w:pStyle w:val="14"/>
            </w:pPr>
            <w:r>
              <w:t>优化</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项目带动市区经济发展</w:t>
            </w:r>
          </w:p>
        </w:tc>
        <w:tc>
          <w:tcPr>
            <w:tcW w:w="2835" w:type="dxa"/>
            <w:vAlign w:val="center"/>
          </w:tcPr>
          <w:p>
            <w:pPr>
              <w:pStyle w:val="14"/>
            </w:pPr>
            <w:r>
              <w:t>拨付清算款带动市区经济发展</w:t>
            </w:r>
          </w:p>
        </w:tc>
        <w:tc>
          <w:tcPr>
            <w:tcW w:w="2551" w:type="dxa"/>
            <w:vAlign w:val="center"/>
          </w:tcPr>
          <w:p>
            <w:pPr>
              <w:pStyle w:val="14"/>
            </w:pPr>
            <w:r>
              <w:t>长期发展</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决策部门满意度（%）</w:t>
            </w:r>
          </w:p>
        </w:tc>
        <w:tc>
          <w:tcPr>
            <w:tcW w:w="2835" w:type="dxa"/>
            <w:vAlign w:val="center"/>
          </w:tcPr>
          <w:p>
            <w:pPr>
              <w:pStyle w:val="14"/>
            </w:pPr>
            <w:r>
              <w:t>决策部门满意和较满意人数占受调查人数总数的比例</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8、提前下达2022年文化站免费开放县级配套资金绩效目标表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1.做好文化站免费开放工作，组织5次文化演出进社区活动，满足基层人民群众的文化需求，提升公共服务水平及人民群众满意度。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组织文化演出次数</w:t>
            </w:r>
          </w:p>
        </w:tc>
        <w:tc>
          <w:tcPr>
            <w:tcW w:w="2835" w:type="dxa"/>
            <w:vAlign w:val="center"/>
          </w:tcPr>
          <w:p>
            <w:pPr>
              <w:pStyle w:val="14"/>
            </w:pPr>
            <w:r>
              <w:t>组织文化演出次数</w:t>
            </w:r>
          </w:p>
        </w:tc>
        <w:tc>
          <w:tcPr>
            <w:tcW w:w="2551" w:type="dxa"/>
            <w:vAlign w:val="center"/>
          </w:tcPr>
          <w:p>
            <w:pPr>
              <w:pStyle w:val="14"/>
            </w:pPr>
            <w:r>
              <w:t>5次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群众参与免费开放文化演出活动人次</w:t>
            </w:r>
          </w:p>
        </w:tc>
        <w:tc>
          <w:tcPr>
            <w:tcW w:w="2835" w:type="dxa"/>
            <w:vAlign w:val="center"/>
          </w:tcPr>
          <w:p>
            <w:pPr>
              <w:pStyle w:val="14"/>
            </w:pPr>
            <w:r>
              <w:t>社区群众参与免费开放文化演出活动人次</w:t>
            </w:r>
          </w:p>
        </w:tc>
        <w:tc>
          <w:tcPr>
            <w:tcW w:w="2551" w:type="dxa"/>
            <w:vAlign w:val="center"/>
          </w:tcPr>
          <w:p>
            <w:pPr>
              <w:pStyle w:val="14"/>
            </w:pPr>
            <w:r>
              <w:t>≥2000人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每次文化演出所需费用</w:t>
            </w:r>
          </w:p>
        </w:tc>
        <w:tc>
          <w:tcPr>
            <w:tcW w:w="2835" w:type="dxa"/>
            <w:vAlign w:val="center"/>
          </w:tcPr>
          <w:p>
            <w:pPr>
              <w:pStyle w:val="14"/>
            </w:pPr>
            <w:r>
              <w:t>每次文化演出所需费用</w:t>
            </w:r>
          </w:p>
        </w:tc>
        <w:tc>
          <w:tcPr>
            <w:tcW w:w="2551" w:type="dxa"/>
            <w:vAlign w:val="center"/>
          </w:tcPr>
          <w:p>
            <w:pPr>
              <w:pStyle w:val="14"/>
            </w:pPr>
            <w:r>
              <w:t>≤1万元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举办文化活动较上年增长率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群众参与人次较上年增长率</w:t>
            </w:r>
          </w:p>
        </w:tc>
        <w:tc>
          <w:tcPr>
            <w:tcW w:w="2835" w:type="dxa"/>
            <w:vAlign w:val="center"/>
          </w:tcPr>
          <w:p>
            <w:pPr>
              <w:pStyle w:val="14"/>
            </w:pPr>
            <w:r>
              <w:t>社区群众参与活动较上年增长率</w:t>
            </w:r>
          </w:p>
        </w:tc>
        <w:tc>
          <w:tcPr>
            <w:tcW w:w="2551" w:type="dxa"/>
            <w:vAlign w:val="center"/>
          </w:tcPr>
          <w:p>
            <w:pPr>
              <w:pStyle w:val="14"/>
            </w:pPr>
            <w:r>
              <w:t>≥5%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文化演出活动完成时间</w:t>
            </w:r>
          </w:p>
        </w:tc>
        <w:tc>
          <w:tcPr>
            <w:tcW w:w="2835" w:type="dxa"/>
            <w:vAlign w:val="center"/>
          </w:tcPr>
          <w:p>
            <w:pPr>
              <w:pStyle w:val="14"/>
            </w:pPr>
            <w:r>
              <w:t>文化演出活动完成时间</w:t>
            </w:r>
          </w:p>
        </w:tc>
        <w:tc>
          <w:tcPr>
            <w:tcW w:w="2551" w:type="dxa"/>
            <w:vAlign w:val="center"/>
          </w:tcPr>
          <w:p>
            <w:pPr>
              <w:pStyle w:val="14"/>
            </w:pPr>
            <w:r>
              <w:t>≤8月份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w:t>
            </w:r>
          </w:p>
        </w:tc>
        <w:tc>
          <w:tcPr>
            <w:tcW w:w="2835" w:type="dxa"/>
            <w:vAlign w:val="center"/>
          </w:tcPr>
          <w:p>
            <w:pPr>
              <w:pStyle w:val="14"/>
            </w:pPr>
            <w:r>
              <w:t>免费开放服务水平稳步提升</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文化站免费开放正常运转</w:t>
            </w:r>
          </w:p>
        </w:tc>
        <w:tc>
          <w:tcPr>
            <w:tcW w:w="2835" w:type="dxa"/>
            <w:vAlign w:val="center"/>
          </w:tcPr>
          <w:p>
            <w:pPr>
              <w:pStyle w:val="14"/>
            </w:pPr>
            <w:r>
              <w:t>文化站免费开放是否正常运转</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受益群众对免费开放场馆（站）服务满意人数占总人数的比率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9、慰问经费绩效目标表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体现我党对生活困难老党员的关心关爱，让他们感受到党和政府的深情关怀和浓浓温暖，办事处计划对辖区内50位老党员每人300元的标准春节、七一分两次进行慰问，鼓励老党员们建立起对今后生活的信心，预计10月底之前支出完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慰问补助老党员人数</w:t>
            </w:r>
          </w:p>
        </w:tc>
        <w:tc>
          <w:tcPr>
            <w:tcW w:w="2835" w:type="dxa"/>
            <w:vAlign w:val="center"/>
          </w:tcPr>
          <w:p>
            <w:pPr>
              <w:pStyle w:val="14"/>
            </w:pPr>
            <w:r>
              <w:t>慰问补助老党员人数</w:t>
            </w:r>
          </w:p>
        </w:tc>
        <w:tc>
          <w:tcPr>
            <w:tcW w:w="2551" w:type="dxa"/>
            <w:vAlign w:val="center"/>
          </w:tcPr>
          <w:p>
            <w:pPr>
              <w:pStyle w:val="14"/>
            </w:pPr>
            <w:r>
              <w:t>≥50人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慰问经费春节发放时限</w:t>
            </w:r>
          </w:p>
        </w:tc>
        <w:tc>
          <w:tcPr>
            <w:tcW w:w="2835" w:type="dxa"/>
            <w:vAlign w:val="center"/>
          </w:tcPr>
          <w:p>
            <w:pPr>
              <w:pStyle w:val="14"/>
            </w:pPr>
            <w:r>
              <w:t>2021年2月中旬慰问经费发放完毕</w:t>
            </w:r>
          </w:p>
        </w:tc>
        <w:tc>
          <w:tcPr>
            <w:tcW w:w="2551" w:type="dxa"/>
            <w:vAlign w:val="center"/>
          </w:tcPr>
          <w:p>
            <w:pPr>
              <w:pStyle w:val="14"/>
            </w:pPr>
            <w:r>
              <w:t>≤2月份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慰问经费七一发放时限</w:t>
            </w:r>
          </w:p>
        </w:tc>
        <w:tc>
          <w:tcPr>
            <w:tcW w:w="2835" w:type="dxa"/>
            <w:vAlign w:val="center"/>
          </w:tcPr>
          <w:p>
            <w:pPr>
              <w:pStyle w:val="14"/>
            </w:pPr>
            <w:r>
              <w:t>2021年7月底之前慰问经费发放完毕</w:t>
            </w:r>
          </w:p>
        </w:tc>
        <w:tc>
          <w:tcPr>
            <w:tcW w:w="2551" w:type="dxa"/>
            <w:vAlign w:val="center"/>
          </w:tcPr>
          <w:p>
            <w:pPr>
              <w:pStyle w:val="14"/>
            </w:pPr>
            <w:r>
              <w:t>≤7月份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慰问补助每人标准</w:t>
            </w:r>
          </w:p>
        </w:tc>
        <w:tc>
          <w:tcPr>
            <w:tcW w:w="2835" w:type="dxa"/>
            <w:vAlign w:val="center"/>
          </w:tcPr>
          <w:p>
            <w:pPr>
              <w:pStyle w:val="14"/>
            </w:pPr>
            <w:r>
              <w:t>慰问补助每人标准</w:t>
            </w:r>
          </w:p>
        </w:tc>
        <w:tc>
          <w:tcPr>
            <w:tcW w:w="2551" w:type="dxa"/>
            <w:vAlign w:val="center"/>
          </w:tcPr>
          <w:p>
            <w:pPr>
              <w:pStyle w:val="14"/>
            </w:pPr>
            <w:r>
              <w:t>300元/人</w:t>
            </w:r>
          </w:p>
        </w:tc>
        <w:tc>
          <w:tcPr>
            <w:tcW w:w="2268"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补助老党员生活改善情况，体现党的关怀</w:t>
            </w:r>
          </w:p>
        </w:tc>
        <w:tc>
          <w:tcPr>
            <w:tcW w:w="2835" w:type="dxa"/>
            <w:vAlign w:val="center"/>
          </w:tcPr>
          <w:p>
            <w:pPr>
              <w:pStyle w:val="14"/>
            </w:pPr>
            <w:r>
              <w:t>补助老党员生活改善情况，体现党的关怀</w:t>
            </w:r>
          </w:p>
        </w:tc>
        <w:tc>
          <w:tcPr>
            <w:tcW w:w="2551" w:type="dxa"/>
            <w:vAlign w:val="center"/>
          </w:tcPr>
          <w:p>
            <w:pPr>
              <w:pStyle w:val="14"/>
            </w:pPr>
            <w:r>
              <w:t>体现</w:t>
            </w:r>
          </w:p>
        </w:tc>
        <w:tc>
          <w:tcPr>
            <w:tcW w:w="2268"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慰问老党员、老干部象满意度(%)</w:t>
            </w:r>
          </w:p>
        </w:tc>
        <w:tc>
          <w:tcPr>
            <w:tcW w:w="2835" w:type="dxa"/>
            <w:vAlign w:val="center"/>
          </w:tcPr>
          <w:p>
            <w:pPr>
              <w:pStyle w:val="14"/>
            </w:pPr>
            <w:r>
              <w:t>通过问卷调查，满意和较满意的慰问老党员、老干部象满意度(%)对象占全部调研对象的比例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1.通过定期开展维稳执勤工作，减少进京上访事件发生，维护辖区社会秩序稳定和谐。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受理信访案件的数量</w:t>
            </w:r>
          </w:p>
        </w:tc>
        <w:tc>
          <w:tcPr>
            <w:tcW w:w="2835" w:type="dxa"/>
            <w:vAlign w:val="center"/>
          </w:tcPr>
          <w:p>
            <w:pPr>
              <w:pStyle w:val="14"/>
            </w:pPr>
            <w:r>
              <w:t>受理信访案件的总数量</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化解成功率</w:t>
            </w:r>
          </w:p>
        </w:tc>
        <w:tc>
          <w:tcPr>
            <w:tcW w:w="2835" w:type="dxa"/>
            <w:vAlign w:val="center"/>
          </w:tcPr>
          <w:p>
            <w:pPr>
              <w:pStyle w:val="14"/>
            </w:pPr>
            <w:r>
              <w:t>完成的信访案化解成功比率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补助金全部发放到位时间</w:t>
            </w:r>
          </w:p>
        </w:tc>
        <w:tc>
          <w:tcPr>
            <w:tcW w:w="2835" w:type="dxa"/>
            <w:vAlign w:val="center"/>
          </w:tcPr>
          <w:p>
            <w:pPr>
              <w:pStyle w:val="14"/>
            </w:pPr>
            <w:r>
              <w:t>补助金全部发放到位时间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人均进京化解成本</w:t>
            </w:r>
          </w:p>
        </w:tc>
        <w:tc>
          <w:tcPr>
            <w:tcW w:w="2835" w:type="dxa"/>
            <w:vAlign w:val="center"/>
          </w:tcPr>
          <w:p>
            <w:pPr>
              <w:pStyle w:val="14"/>
            </w:pPr>
            <w:r>
              <w:t>每人每天进京化解信访事件成本</w:t>
            </w:r>
          </w:p>
        </w:tc>
        <w:tc>
          <w:tcPr>
            <w:tcW w:w="2551" w:type="dxa"/>
            <w:vAlign w:val="center"/>
          </w:tcPr>
          <w:p>
            <w:pPr>
              <w:pStyle w:val="14"/>
            </w:pPr>
            <w:r>
              <w:t>≤680元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涉稳舆情处置率</w:t>
            </w:r>
          </w:p>
        </w:tc>
        <w:tc>
          <w:tcPr>
            <w:tcW w:w="2835" w:type="dxa"/>
            <w:vAlign w:val="center"/>
          </w:tcPr>
          <w:p>
            <w:pPr>
              <w:pStyle w:val="14"/>
            </w:pPr>
            <w:r>
              <w:t>处置的涉稳舆情数占涉稳舆情总数的比率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集体上访次数（次）</w:t>
            </w:r>
          </w:p>
        </w:tc>
        <w:tc>
          <w:tcPr>
            <w:tcW w:w="2835" w:type="dxa"/>
            <w:vAlign w:val="center"/>
          </w:tcPr>
          <w:p>
            <w:pPr>
              <w:pStyle w:val="14"/>
            </w:pPr>
            <w:r>
              <w:t>实际集体上访次数</w:t>
            </w:r>
          </w:p>
        </w:tc>
        <w:tc>
          <w:tcPr>
            <w:tcW w:w="2551" w:type="dxa"/>
            <w:vAlign w:val="center"/>
          </w:tcPr>
          <w:p>
            <w:pPr>
              <w:pStyle w:val="14"/>
            </w:pPr>
            <w:r>
              <w:t>&lt;1次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维稳村街群众满意度</w:t>
            </w:r>
          </w:p>
        </w:tc>
        <w:tc>
          <w:tcPr>
            <w:tcW w:w="2835" w:type="dxa"/>
            <w:vAlign w:val="center"/>
          </w:tcPr>
          <w:p>
            <w:pPr>
              <w:pStyle w:val="14"/>
            </w:pPr>
            <w:r>
              <w:t>通过问卷调查，满意和较满意的群众占全部调研群体的比率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11、智慧平台运维经费绩效目标表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1.保证服务群众智慧平台能够正常运转，更快更好的解决各类群众纠纷矛盾，为群众服务。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全年平台运维次数</w:t>
            </w:r>
          </w:p>
        </w:tc>
        <w:tc>
          <w:tcPr>
            <w:tcW w:w="2835" w:type="dxa"/>
            <w:vAlign w:val="center"/>
          </w:tcPr>
          <w:p>
            <w:pPr>
              <w:pStyle w:val="14"/>
            </w:pPr>
            <w:r>
              <w:t>全年平台运维次数</w:t>
            </w:r>
          </w:p>
        </w:tc>
        <w:tc>
          <w:tcPr>
            <w:tcW w:w="2551" w:type="dxa"/>
            <w:vAlign w:val="center"/>
          </w:tcPr>
          <w:p>
            <w:pPr>
              <w:pStyle w:val="14"/>
            </w:pPr>
            <w:r>
              <w:t>≥50次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指挥平台故障次数</w:t>
            </w:r>
          </w:p>
        </w:tc>
        <w:tc>
          <w:tcPr>
            <w:tcW w:w="2835" w:type="dxa"/>
            <w:vAlign w:val="center"/>
          </w:tcPr>
          <w:p>
            <w:pPr>
              <w:pStyle w:val="14"/>
            </w:pPr>
            <w:r>
              <w:t>运维期间指挥平台故障次数</w:t>
            </w:r>
          </w:p>
        </w:tc>
        <w:tc>
          <w:tcPr>
            <w:tcW w:w="2551" w:type="dxa"/>
            <w:vAlign w:val="center"/>
          </w:tcPr>
          <w:p>
            <w:pPr>
              <w:pStyle w:val="14"/>
            </w:pPr>
            <w:r>
              <w:t>&lt;1次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运维经费拨付时间</w:t>
            </w:r>
          </w:p>
        </w:tc>
        <w:tc>
          <w:tcPr>
            <w:tcW w:w="2835" w:type="dxa"/>
            <w:vAlign w:val="center"/>
          </w:tcPr>
          <w:p>
            <w:pPr>
              <w:pStyle w:val="14"/>
            </w:pPr>
            <w:r>
              <w:t>运维经费拨付时间</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平台运维成本</w:t>
            </w:r>
          </w:p>
        </w:tc>
        <w:tc>
          <w:tcPr>
            <w:tcW w:w="2835" w:type="dxa"/>
            <w:vAlign w:val="center"/>
          </w:tcPr>
          <w:p>
            <w:pPr>
              <w:pStyle w:val="14"/>
            </w:pPr>
            <w:r>
              <w:t>平台运维成本</w:t>
            </w:r>
          </w:p>
        </w:tc>
        <w:tc>
          <w:tcPr>
            <w:tcW w:w="2551" w:type="dxa"/>
            <w:vAlign w:val="center"/>
          </w:tcPr>
          <w:p>
            <w:pPr>
              <w:pStyle w:val="14"/>
            </w:pPr>
            <w:r>
              <w:t>≤6万元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矛盾纠纷调解成功率（%）</w:t>
            </w:r>
          </w:p>
        </w:tc>
        <w:tc>
          <w:tcPr>
            <w:tcW w:w="2835" w:type="dxa"/>
            <w:vAlign w:val="center"/>
          </w:tcPr>
          <w:p>
            <w:pPr>
              <w:pStyle w:val="14"/>
            </w:pPr>
            <w:r>
              <w:t>矛盾纠纷调解成功率（%）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智慧平台居民使用比例（%）</w:t>
            </w:r>
          </w:p>
        </w:tc>
        <w:tc>
          <w:tcPr>
            <w:tcW w:w="2835" w:type="dxa"/>
            <w:vAlign w:val="center"/>
          </w:tcPr>
          <w:p>
            <w:pPr>
              <w:pStyle w:val="14"/>
            </w:pPr>
            <w:r>
              <w:t>使用智慧平台居民占辖区居民人数的比率</w:t>
            </w:r>
          </w:p>
        </w:tc>
        <w:tc>
          <w:tcPr>
            <w:tcW w:w="2551" w:type="dxa"/>
            <w:vAlign w:val="center"/>
          </w:tcPr>
          <w:p>
            <w:pPr>
              <w:pStyle w:val="14"/>
            </w:pPr>
            <w:r>
              <w:t>≥30%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服务群众满意度（%）</w:t>
            </w:r>
          </w:p>
        </w:tc>
        <w:tc>
          <w:tcPr>
            <w:tcW w:w="2835" w:type="dxa"/>
            <w:vAlign w:val="center"/>
          </w:tcPr>
          <w:p>
            <w:pPr>
              <w:pStyle w:val="14"/>
            </w:pPr>
            <w:r>
              <w:t>纠纷解决满意群众占总矛盾纠纷的比率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2022年，霸州市裕华街道办事处</w:t>
      </w:r>
      <w:r>
        <w:rPr>
          <w:rFonts w:hint="eastAsia" w:eastAsia="方正仿宋_GBK"/>
          <w:color w:val="000000"/>
          <w:sz w:val="28"/>
          <w:lang w:val="en-US" w:eastAsia="zh-CN"/>
        </w:rPr>
        <w:t>本级</w:t>
      </w:r>
      <w:r>
        <w:rPr>
          <w:rFonts w:eastAsia="方正仿宋_GBK"/>
          <w:color w:val="000000"/>
          <w:sz w:val="28"/>
        </w:rPr>
        <w:t>安排政府采购预算22.00万元。具体内容见下表。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22.00</w:t>
            </w:r>
          </w:p>
        </w:tc>
        <w:tc>
          <w:tcPr>
            <w:tcW w:w="964" w:type="dxa"/>
            <w:vAlign w:val="center"/>
          </w:tcPr>
          <w:p>
            <w:pPr>
              <w:pStyle w:val="17"/>
            </w:pPr>
            <w:r>
              <w:t>22.00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霸州市裕华街道办事处本级小计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22.00</w:t>
            </w:r>
          </w:p>
        </w:tc>
        <w:tc>
          <w:tcPr>
            <w:tcW w:w="964" w:type="dxa"/>
            <w:vAlign w:val="center"/>
          </w:tcPr>
          <w:p>
            <w:pPr>
              <w:pStyle w:val="17"/>
            </w:pPr>
            <w:r>
              <w:t>22.00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“两违”拆除工作经费</w:t>
            </w:r>
          </w:p>
        </w:tc>
        <w:tc>
          <w:tcPr>
            <w:tcW w:w="964" w:type="dxa"/>
            <w:vAlign w:val="center"/>
          </w:tcPr>
          <w:p>
            <w:pPr>
              <w:pStyle w:val="13"/>
            </w:pPr>
            <w:r>
              <w:t>17.00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17.00</w:t>
            </w:r>
          </w:p>
        </w:tc>
        <w:tc>
          <w:tcPr>
            <w:tcW w:w="964" w:type="dxa"/>
            <w:vAlign w:val="center"/>
          </w:tcPr>
          <w:p>
            <w:pPr>
              <w:pStyle w:val="13"/>
            </w:pPr>
            <w:r>
              <w:t>17.00</w:t>
            </w:r>
          </w:p>
        </w:tc>
        <w:tc>
          <w:tcPr>
            <w:tcW w:w="964" w:type="dxa"/>
            <w:vAlign w:val="center"/>
          </w:tcPr>
          <w:p>
            <w:pPr>
              <w:pStyle w:val="13"/>
            </w:pPr>
            <w:r>
              <w:t>17.00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关于提前下达2022年省级“三馆一站”免费开放补助资金的通知（冀财教[2021]155号）</w:t>
            </w:r>
          </w:p>
        </w:tc>
        <w:tc>
          <w:tcPr>
            <w:tcW w:w="964" w:type="dxa"/>
            <w:vAlign w:val="center"/>
          </w:tcPr>
          <w:p>
            <w:pPr>
              <w:pStyle w:val="13"/>
            </w:pPr>
            <w:r>
              <w:t>0.50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关于提前下达2022年中央补助地方美术馆 公共图书馆 文化馆（站）免费开放补助资金预算的通知（冀财教[2021]141号）</w:t>
            </w:r>
          </w:p>
        </w:tc>
        <w:tc>
          <w:tcPr>
            <w:tcW w:w="964" w:type="dxa"/>
            <w:vAlign w:val="center"/>
          </w:tcPr>
          <w:p>
            <w:pPr>
              <w:pStyle w:val="13"/>
            </w:pPr>
            <w:r>
              <w:t>3.00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提前下达2022年文化站免费开放县级配套资金</w:t>
            </w:r>
          </w:p>
        </w:tc>
        <w:tc>
          <w:tcPr>
            <w:tcW w:w="964" w:type="dxa"/>
            <w:vAlign w:val="center"/>
          </w:tcPr>
          <w:p>
            <w:pPr>
              <w:pStyle w:val="13"/>
            </w:pPr>
            <w:r>
              <w:t>1.50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1场</w:t>
            </w:r>
          </w:p>
        </w:tc>
        <w:tc>
          <w:tcPr>
            <w:tcW w:w="850" w:type="dxa"/>
            <w:vAlign w:val="center"/>
          </w:tcPr>
          <w:p>
            <w:pPr>
              <w:pStyle w:val="13"/>
            </w:pPr>
            <w:r>
              <w:t>1</w:t>
            </w:r>
          </w:p>
        </w:tc>
        <w:tc>
          <w:tcPr>
            <w:tcW w:w="850" w:type="dxa"/>
            <w:vAlign w:val="center"/>
          </w:tcPr>
          <w:p>
            <w:pPr>
              <w:pStyle w:val="13"/>
            </w:pPr>
            <w:r>
              <w:t>1.50</w:t>
            </w:r>
          </w:p>
        </w:tc>
        <w:tc>
          <w:tcPr>
            <w:tcW w:w="964" w:type="dxa"/>
            <w:vAlign w:val="center"/>
          </w:tcPr>
          <w:p>
            <w:pPr>
              <w:pStyle w:val="13"/>
            </w:pPr>
            <w:r>
              <w:t>1.50</w:t>
            </w:r>
          </w:p>
        </w:tc>
        <w:tc>
          <w:tcPr>
            <w:tcW w:w="964" w:type="dxa"/>
            <w:vAlign w:val="center"/>
          </w:tcPr>
          <w:p>
            <w:pPr>
              <w:pStyle w:val="13"/>
            </w:pPr>
            <w:r>
              <w:t>1.50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霸州市裕华街道办事处</w:t>
      </w:r>
      <w:r>
        <w:rPr>
          <w:rFonts w:hint="eastAsia" w:eastAsia="方正仿宋_GBK"/>
          <w:color w:val="000000"/>
          <w:sz w:val="28"/>
          <w:lang w:val="en-US" w:eastAsia="zh-CN"/>
        </w:rPr>
        <w:t>本级</w:t>
      </w:r>
      <w:r>
        <w:rPr>
          <w:rFonts w:eastAsia="方正仿宋_GBK"/>
          <w:color w:val="000000"/>
          <w:sz w:val="28"/>
        </w:rPr>
        <w:t>上年末固定资产金额为1432.72万元（详见下表）。2022</w:t>
      </w:r>
      <w:r>
        <w:rPr>
          <w:rFonts w:hint="eastAsia" w:eastAsia="方正仿宋_GBK"/>
          <w:color w:val="000000"/>
          <w:sz w:val="28"/>
        </w:rPr>
        <w:t>年度我</w:t>
      </w:r>
      <w:r>
        <w:rPr>
          <w:rFonts w:hint="eastAsia" w:eastAsia="方正仿宋_GBK"/>
          <w:color w:val="000000"/>
          <w:sz w:val="28"/>
          <w:lang w:val="en-US" w:eastAsia="zh-CN"/>
        </w:rPr>
        <w:t>单位</w:t>
      </w:r>
      <w:r>
        <w:rPr>
          <w:rFonts w:hint="eastAsia" w:eastAsia="方正仿宋_GBK"/>
          <w:color w:val="000000"/>
          <w:sz w:val="28"/>
        </w:rPr>
        <w:t>无新增固定资产计划</w:t>
      </w:r>
      <w:r>
        <w:rPr>
          <w:rFonts w:eastAsia="方正仿宋_GBK"/>
          <w:color w:val="000000"/>
          <w:sz w:val="28"/>
        </w:rPr>
        <w:t>。</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965</w:t>
            </w:r>
            <w:r>
              <w:rPr>
                <w:rFonts w:hint="eastAsia"/>
                <w:lang w:val="en-US" w:eastAsia="zh-CN"/>
              </w:rPr>
              <w:t>001</w:t>
            </w:r>
            <w:r>
              <w:t>霸州市裕华街道办事处</w:t>
            </w:r>
            <w:r>
              <w:rPr>
                <w:rFonts w:hint="eastAsia"/>
                <w:lang w:val="en-US"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cs="宋体"/>
                <w:sz w:val="22"/>
              </w:rPr>
            </w:pPr>
            <w:r>
              <w:rPr>
                <w:rFonts w:hint="eastAsia" w:ascii="宋体" w:hAnsi="宋体" w:cs="宋体"/>
                <w:sz w:val="22"/>
              </w:rPr>
              <w:t>资产总额</w:t>
            </w:r>
          </w:p>
        </w:tc>
        <w:tc>
          <w:tcPr>
            <w:tcW w:w="2835" w:type="dxa"/>
            <w:vAlign w:val="center"/>
          </w:tcPr>
          <w:p>
            <w:pPr>
              <w:jc w:val="center"/>
              <w:rPr>
                <w:rFonts w:ascii="宋体" w:hAnsi="宋体" w:cs="宋体"/>
                <w:sz w:val="22"/>
              </w:rPr>
            </w:pPr>
            <w:r>
              <w:rPr>
                <w:rFonts w:hint="eastAsia" w:ascii="宋体" w:hAnsi="宋体" w:cs="宋体"/>
                <w:sz w:val="22"/>
              </w:rPr>
              <w:t>——</w:t>
            </w:r>
          </w:p>
        </w:tc>
        <w:tc>
          <w:tcPr>
            <w:tcW w:w="2835" w:type="dxa"/>
            <w:vAlign w:val="center"/>
          </w:tcPr>
          <w:p>
            <w:pPr>
              <w:jc w:val="center"/>
              <w:rPr>
                <w:rFonts w:ascii="宋体" w:hAnsi="宋体" w:cs="宋体"/>
                <w:sz w:val="22"/>
              </w:rPr>
            </w:pPr>
            <w:r>
              <w:rPr>
                <w:rFonts w:ascii="宋体" w:hAnsi="宋体" w:cs="宋体"/>
                <w:sz w:val="22"/>
              </w:rPr>
              <w:t>1432.72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cs="宋体"/>
                <w:sz w:val="22"/>
              </w:rPr>
            </w:pPr>
            <w:r>
              <w:rPr>
                <w:rFonts w:hint="eastAsia" w:ascii="宋体" w:hAnsi="宋体" w:cs="宋体"/>
                <w:sz w:val="22"/>
              </w:rPr>
              <w:t>1、房屋（平方米）</w:t>
            </w:r>
          </w:p>
        </w:tc>
        <w:tc>
          <w:tcPr>
            <w:tcW w:w="2835" w:type="dxa"/>
            <w:vAlign w:val="center"/>
          </w:tcPr>
          <w:p>
            <w:pPr>
              <w:jc w:val="center"/>
              <w:rPr>
                <w:rFonts w:ascii="宋体" w:hAnsi="宋体" w:cs="宋体"/>
                <w:sz w:val="22"/>
              </w:rPr>
            </w:pPr>
            <w:r>
              <w:rPr>
                <w:rFonts w:hint="eastAsia" w:ascii="宋体" w:hAnsi="宋体" w:cs="宋体"/>
                <w:sz w:val="22"/>
              </w:rPr>
              <w:t>5500</w:t>
            </w:r>
          </w:p>
        </w:tc>
        <w:tc>
          <w:tcPr>
            <w:tcW w:w="2835" w:type="dxa"/>
            <w:vAlign w:val="center"/>
          </w:tcPr>
          <w:p>
            <w:pPr>
              <w:jc w:val="center"/>
              <w:rPr>
                <w:rFonts w:ascii="宋体" w:hAnsi="宋体" w:cs="宋体"/>
                <w:sz w:val="22"/>
              </w:rPr>
            </w:pPr>
            <w:r>
              <w:rPr>
                <w:rFonts w:hint="eastAsia" w:ascii="宋体" w:hAnsi="宋体" w:cs="宋体"/>
                <w:sz w:val="22"/>
              </w:rP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cs="宋体"/>
                <w:sz w:val="22"/>
              </w:rPr>
            </w:pPr>
            <w:r>
              <w:rPr>
                <w:rFonts w:hint="eastAsia" w:ascii="宋体" w:hAnsi="宋体" w:cs="宋体"/>
                <w:sz w:val="22"/>
              </w:rPr>
              <w:t xml:space="preserve">   其中：办公用房（平方米）</w:t>
            </w:r>
          </w:p>
        </w:tc>
        <w:tc>
          <w:tcPr>
            <w:tcW w:w="2835" w:type="dxa"/>
            <w:vAlign w:val="center"/>
          </w:tcPr>
          <w:p>
            <w:pPr>
              <w:jc w:val="center"/>
              <w:rPr>
                <w:rFonts w:ascii="宋体" w:hAnsi="宋体" w:cs="宋体"/>
                <w:sz w:val="22"/>
              </w:rPr>
            </w:pPr>
            <w:r>
              <w:rPr>
                <w:rFonts w:hint="eastAsia" w:ascii="宋体" w:hAnsi="宋体" w:cs="宋体"/>
                <w:sz w:val="22"/>
              </w:rPr>
              <w:t>3900</w:t>
            </w:r>
          </w:p>
        </w:tc>
        <w:tc>
          <w:tcPr>
            <w:tcW w:w="2835" w:type="dxa"/>
            <w:vAlign w:val="center"/>
          </w:tcPr>
          <w:p>
            <w:pPr>
              <w:jc w:val="center"/>
              <w:rPr>
                <w:rFonts w:ascii="宋体" w:hAnsi="宋体" w:cs="宋体"/>
                <w:sz w:val="22"/>
              </w:rPr>
            </w:pPr>
            <w:r>
              <w:rPr>
                <w:rFonts w:hint="eastAsia" w:ascii="宋体" w:hAnsi="宋体" w:cs="宋体"/>
                <w:sz w:val="22"/>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cs="宋体"/>
                <w:sz w:val="22"/>
              </w:rPr>
            </w:pPr>
            <w:r>
              <w:rPr>
                <w:rFonts w:hint="eastAsia" w:ascii="宋体" w:hAnsi="宋体" w:cs="宋体"/>
                <w:sz w:val="22"/>
              </w:rPr>
              <w:t>2、车辆（台、辆）</w:t>
            </w:r>
          </w:p>
        </w:tc>
        <w:tc>
          <w:tcPr>
            <w:tcW w:w="2835" w:type="dxa"/>
            <w:vAlign w:val="center"/>
          </w:tcPr>
          <w:p>
            <w:pPr>
              <w:jc w:val="center"/>
              <w:rPr>
                <w:rFonts w:ascii="宋体" w:hAnsi="宋体" w:cs="宋体"/>
                <w:sz w:val="22"/>
              </w:rPr>
            </w:pPr>
            <w:r>
              <w:rPr>
                <w:rFonts w:hint="eastAsia" w:ascii="宋体" w:hAnsi="宋体" w:cs="宋体"/>
                <w:sz w:val="22"/>
              </w:rPr>
              <w:t>2</w:t>
            </w:r>
          </w:p>
        </w:tc>
        <w:tc>
          <w:tcPr>
            <w:tcW w:w="2835" w:type="dxa"/>
            <w:vAlign w:val="center"/>
          </w:tcPr>
          <w:p>
            <w:pPr>
              <w:jc w:val="center"/>
              <w:rPr>
                <w:rFonts w:ascii="宋体" w:hAnsi="宋体" w:cs="宋体"/>
                <w:sz w:val="22"/>
              </w:rPr>
            </w:pPr>
            <w:r>
              <w:rPr>
                <w:rFonts w:hint="eastAsia" w:ascii="宋体" w:hAnsi="宋体" w:cs="宋体"/>
                <w:sz w:val="22"/>
              </w:rPr>
              <w:t>34.28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cs="宋体"/>
                <w:sz w:val="22"/>
              </w:rPr>
            </w:pPr>
            <w:r>
              <w:rPr>
                <w:rFonts w:hint="eastAsia" w:ascii="宋体" w:hAnsi="宋体" w:cs="宋体"/>
                <w:sz w:val="22"/>
              </w:rPr>
              <w:t>3、单价在20万元以上的设备</w:t>
            </w:r>
          </w:p>
        </w:tc>
        <w:tc>
          <w:tcPr>
            <w:tcW w:w="2835" w:type="dxa"/>
            <w:vAlign w:val="center"/>
          </w:tcPr>
          <w:p>
            <w:pPr>
              <w:jc w:val="center"/>
              <w:rPr>
                <w:rFonts w:ascii="宋体" w:hAnsi="宋体" w:cs="宋体" w:eastAsiaTheme="minorEastAsia"/>
                <w:sz w:val="22"/>
                <w:lang w:eastAsia="zh-CN"/>
              </w:rPr>
            </w:pPr>
            <w:r>
              <w:rPr>
                <w:rFonts w:hint="eastAsia" w:ascii="宋体" w:hAnsi="宋体" w:cs="宋体" w:eastAsiaTheme="minorEastAsia"/>
                <w:sz w:val="22"/>
                <w:lang w:eastAsia="zh-CN"/>
              </w:rPr>
              <w:t>0</w:t>
            </w:r>
          </w:p>
        </w:tc>
        <w:tc>
          <w:tcPr>
            <w:tcW w:w="2835" w:type="dxa"/>
            <w:vAlign w:val="center"/>
          </w:tcPr>
          <w:p>
            <w:pPr>
              <w:jc w:val="center"/>
              <w:rPr>
                <w:rFonts w:ascii="宋体" w:hAnsi="宋体" w:cs="宋体" w:eastAsiaTheme="minorEastAsia"/>
                <w:sz w:val="22"/>
                <w:lang w:eastAsia="zh-CN"/>
              </w:rPr>
            </w:pPr>
            <w:r>
              <w:rPr>
                <w:rFonts w:hint="eastAsia" w:ascii="宋体" w:hAnsi="宋体" w:cs="宋体" w:eastAsiaTheme="minorEastAsia"/>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cs="宋体"/>
                <w:sz w:val="22"/>
              </w:rPr>
            </w:pPr>
            <w:r>
              <w:rPr>
                <w:rFonts w:hint="eastAsia" w:ascii="宋体" w:hAnsi="宋体" w:cs="宋体"/>
                <w:sz w:val="22"/>
              </w:rPr>
              <w:t>4、其他固定资产</w:t>
            </w:r>
          </w:p>
        </w:tc>
        <w:tc>
          <w:tcPr>
            <w:tcW w:w="2835" w:type="dxa"/>
            <w:vAlign w:val="center"/>
          </w:tcPr>
          <w:p>
            <w:pPr>
              <w:jc w:val="center"/>
              <w:rPr>
                <w:rFonts w:ascii="宋体" w:hAnsi="宋体" w:cs="宋体"/>
                <w:sz w:val="22"/>
              </w:rPr>
            </w:pPr>
            <w:r>
              <w:rPr>
                <w:rFonts w:hint="eastAsia" w:ascii="宋体" w:hAnsi="宋体" w:cs="宋体"/>
                <w:sz w:val="22"/>
              </w:rPr>
              <w:t>——</w:t>
            </w:r>
          </w:p>
        </w:tc>
        <w:tc>
          <w:tcPr>
            <w:tcW w:w="2835" w:type="dxa"/>
            <w:vAlign w:val="center"/>
          </w:tcPr>
          <w:p>
            <w:pPr>
              <w:jc w:val="center"/>
              <w:rPr>
                <w:rFonts w:ascii="宋体" w:hAnsi="宋体" w:cs="宋体"/>
                <w:sz w:val="22"/>
              </w:rPr>
            </w:pPr>
            <w:r>
              <w:rPr>
                <w:rFonts w:ascii="宋体" w:hAnsi="宋体" w:cs="宋体"/>
                <w:sz w:val="22"/>
              </w:rPr>
              <w:t>278.44</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预算</w:t>
      </w:r>
      <w:r>
        <w:rPr>
          <w:rFonts w:hint="eastAsia" w:eastAsia="方正仿宋_GBK"/>
          <w:color w:val="000000"/>
          <w:sz w:val="28"/>
          <w:lang w:val="en-US"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val="en-US"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eastAsia="黑体" w:cs="黑体" w:asciiTheme="minorHAnsi" w:hAnsiTheme="minorHAnsi"/>
          <w:color w:val="000000"/>
          <w:sz w:val="32"/>
          <w:lang w:val="uk-UA"/>
        </w:rPr>
      </w:pPr>
      <w:bookmarkStart w:id="17" w:name="_Toc_3_3_0000000018"/>
      <w:r>
        <w:rPr>
          <w:rFonts w:ascii="黑体" w:hAnsi="黑体" w:eastAsia="黑体" w:cs="黑体"/>
          <w:color w:val="000000"/>
          <w:sz w:val="32"/>
        </w:rPr>
        <w:t>九、其他需要说明的事项</w:t>
      </w:r>
      <w:bookmarkEnd w:id="17"/>
    </w:p>
    <w:p>
      <w:pPr>
        <w:spacing w:before="10" w:after="10"/>
        <w:ind w:firstLine="640"/>
        <w:outlineLvl w:val="2"/>
        <w:rPr>
          <w:rFonts w:eastAsia="方正仿宋_GBK"/>
          <w:color w:val="000000"/>
          <w:sz w:val="28"/>
        </w:rPr>
      </w:pPr>
      <w:r>
        <w:rPr>
          <w:rFonts w:hint="eastAsia" w:eastAsia="方正仿宋_GBK"/>
          <w:color w:val="000000"/>
          <w:sz w:val="28"/>
        </w:rPr>
        <w:t>我部门无其他需要说明的事项。</w:t>
      </w: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IyMDllNzk5OTc1ZGNkZDY5ZmY3YjlhYWRlYjQ4ZjAifQ=="/>
  </w:docVars>
  <w:rsids>
    <w:rsidRoot w:val="00ED07B9"/>
    <w:rsid w:val="000220F2"/>
    <w:rsid w:val="00083B49"/>
    <w:rsid w:val="000A5C6F"/>
    <w:rsid w:val="000C0568"/>
    <w:rsid w:val="00172AE9"/>
    <w:rsid w:val="002B7579"/>
    <w:rsid w:val="0032170D"/>
    <w:rsid w:val="00332A2D"/>
    <w:rsid w:val="00354AF4"/>
    <w:rsid w:val="003E38CC"/>
    <w:rsid w:val="00434E3D"/>
    <w:rsid w:val="004717FF"/>
    <w:rsid w:val="005132A7"/>
    <w:rsid w:val="005D79A7"/>
    <w:rsid w:val="00625D19"/>
    <w:rsid w:val="00630CEA"/>
    <w:rsid w:val="00660B59"/>
    <w:rsid w:val="006B043F"/>
    <w:rsid w:val="006B3FC5"/>
    <w:rsid w:val="00773395"/>
    <w:rsid w:val="008166D2"/>
    <w:rsid w:val="00914074"/>
    <w:rsid w:val="009556D9"/>
    <w:rsid w:val="0099322A"/>
    <w:rsid w:val="009A7973"/>
    <w:rsid w:val="009C4C7B"/>
    <w:rsid w:val="00A07A32"/>
    <w:rsid w:val="00A3558C"/>
    <w:rsid w:val="00A91E00"/>
    <w:rsid w:val="00A93CED"/>
    <w:rsid w:val="00AE2927"/>
    <w:rsid w:val="00BC4C84"/>
    <w:rsid w:val="00C96EB1"/>
    <w:rsid w:val="00CD5052"/>
    <w:rsid w:val="00E12C10"/>
    <w:rsid w:val="00ED07B9"/>
    <w:rsid w:val="00F05FE9"/>
    <w:rsid w:val="00F46337"/>
    <w:rsid w:val="041C42E8"/>
    <w:rsid w:val="3BF822C3"/>
    <w:rsid w:val="5F99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2022-03-04T12:19:58Z</dcterms:created>
  <dcterms:modified xsi:type="dcterms:W3CDTF">2022-03-04T04:19:58Z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2022-03-04T12:20:01Z</dcterms:created>
  <dcterms:modified xsi:type="dcterms:W3CDTF">2022-03-04T04:20:01Z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2022-03-04T12:20:02Z</dcterms:created>
  <dcterms:modified xsi:type="dcterms:W3CDTF">2022-03-04T04:20:02Z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2022-03-04T12:19:57Z</dcterms:created>
  <dcterms:modified xsi:type="dcterms:W3CDTF">2022-03-04T04:19:57Z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2022-03-04T12:20:03Z</dcterms:created>
  <dcterms:modified xsi:type="dcterms:W3CDTF">2022-03-04T04:20:03Z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2022-03-04T12:19:55Z</dcterms:created>
  <dcterms:modified xsi:type="dcterms:W3CDTF">2022-03-04T04:19:54Z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2022-03-04T12:19:56Z</dcterms:created>
  <dcterms:modified xsi:type="dcterms:W3CDTF">2022-03-04T04:19:56Z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2BB7483-A4C4-4ECA-9846-D094BD446D26}">
  <ds:schemaRefs/>
</ds:datastoreItem>
</file>

<file path=customXml/itemProps10.xml><?xml version="1.0" encoding="utf-8"?>
<ds:datastoreItem xmlns:ds="http://schemas.openxmlformats.org/officeDocument/2006/customXml" ds:itemID="{B52C5EFE-E5FD-49BF-8EAB-A055571D4CDD}">
  <ds:schemaRefs/>
</ds:datastoreItem>
</file>

<file path=customXml/itemProps11.xml><?xml version="1.0" encoding="utf-8"?>
<ds:datastoreItem xmlns:ds="http://schemas.openxmlformats.org/officeDocument/2006/customXml" ds:itemID="{42B737F2-3DC5-4838-9CDF-5291C8B7521C}">
  <ds:schemaRefs/>
</ds:datastoreItem>
</file>

<file path=customXml/itemProps12.xml><?xml version="1.0" encoding="utf-8"?>
<ds:datastoreItem xmlns:ds="http://schemas.openxmlformats.org/officeDocument/2006/customXml" ds:itemID="{52EA7E5D-356D-4405-A577-16D8CA60ADC3}">
  <ds:schemaRefs/>
</ds:datastoreItem>
</file>

<file path=customXml/itemProps13.xml><?xml version="1.0" encoding="utf-8"?>
<ds:datastoreItem xmlns:ds="http://schemas.openxmlformats.org/officeDocument/2006/customXml" ds:itemID="{1DB167DC-80B1-4EFD-9473-639D3061D018}">
  <ds:schemaRefs/>
</ds:datastoreItem>
</file>

<file path=customXml/itemProps14.xml><?xml version="1.0" encoding="utf-8"?>
<ds:datastoreItem xmlns:ds="http://schemas.openxmlformats.org/officeDocument/2006/customXml" ds:itemID="{C1E76792-3298-4B85-BBF2-DE45BBE6A6DE}">
  <ds:schemaRefs/>
</ds:datastoreItem>
</file>

<file path=customXml/itemProps15.xml><?xml version="1.0" encoding="utf-8"?>
<ds:datastoreItem xmlns:ds="http://schemas.openxmlformats.org/officeDocument/2006/customXml" ds:itemID="{A1A0C01E-F27B-444A-BE02-6E15866D48F8}">
  <ds:schemaRefs/>
</ds:datastoreItem>
</file>

<file path=customXml/itemProps16.xml><?xml version="1.0" encoding="utf-8"?>
<ds:datastoreItem xmlns:ds="http://schemas.openxmlformats.org/officeDocument/2006/customXml" ds:itemID="{6840A0BA-259D-4B9F-B2DD-1ABEBB41D8F3}">
  <ds:schemaRefs/>
</ds:datastoreItem>
</file>

<file path=customXml/itemProps17.xml><?xml version="1.0" encoding="utf-8"?>
<ds:datastoreItem xmlns:ds="http://schemas.openxmlformats.org/officeDocument/2006/customXml" ds:itemID="{937E8CA6-7274-44C3-8891-F0F4234FB447}">
  <ds:schemaRefs/>
</ds:datastoreItem>
</file>

<file path=customXml/itemProps18.xml><?xml version="1.0" encoding="utf-8"?>
<ds:datastoreItem xmlns:ds="http://schemas.openxmlformats.org/officeDocument/2006/customXml" ds:itemID="{F9A9005D-702E-4FFD-A976-3422C769C593}">
  <ds:schemaRefs/>
</ds:datastoreItem>
</file>

<file path=customXml/itemProps19.xml><?xml version="1.0" encoding="utf-8"?>
<ds:datastoreItem xmlns:ds="http://schemas.openxmlformats.org/officeDocument/2006/customXml" ds:itemID="{BEC3A949-E925-4FFD-8836-FD5862D1117F}">
  <ds:schemaRefs/>
</ds:datastoreItem>
</file>

<file path=customXml/itemProps2.xml><?xml version="1.0" encoding="utf-8"?>
<ds:datastoreItem xmlns:ds="http://schemas.openxmlformats.org/officeDocument/2006/customXml" ds:itemID="{A0F2C204-BA2F-4A1D-81D7-3C0BEC46649F}">
  <ds:schemaRefs/>
</ds:datastoreItem>
</file>

<file path=customXml/itemProps20.xml><?xml version="1.0" encoding="utf-8"?>
<ds:datastoreItem xmlns:ds="http://schemas.openxmlformats.org/officeDocument/2006/customXml" ds:itemID="{69A2BE5F-131C-483C-8E84-5AD70808DE9E}">
  <ds:schemaRefs/>
</ds:datastoreItem>
</file>

<file path=customXml/itemProps21.xml><?xml version="1.0" encoding="utf-8"?>
<ds:datastoreItem xmlns:ds="http://schemas.openxmlformats.org/officeDocument/2006/customXml" ds:itemID="{686628D7-5EA5-4392-8D71-F3149264F55D}">
  <ds:schemaRefs/>
</ds:datastoreItem>
</file>

<file path=customXml/itemProps22.xml><?xml version="1.0" encoding="utf-8"?>
<ds:datastoreItem xmlns:ds="http://schemas.openxmlformats.org/officeDocument/2006/customXml" ds:itemID="{74ABC660-C654-4621-BD47-5BE88F1AEAC7}">
  <ds:schemaRefs/>
</ds:datastoreItem>
</file>

<file path=customXml/itemProps23.xml><?xml version="1.0" encoding="utf-8"?>
<ds:datastoreItem xmlns:ds="http://schemas.openxmlformats.org/officeDocument/2006/customXml" ds:itemID="{4CF568AF-999F-471F-8368-36D11136DB40}">
  <ds:schemaRefs/>
</ds:datastoreItem>
</file>

<file path=customXml/itemProps24.xml><?xml version="1.0" encoding="utf-8"?>
<ds:datastoreItem xmlns:ds="http://schemas.openxmlformats.org/officeDocument/2006/customXml" ds:itemID="{A5378EDD-9077-40E3-AD92-6638348EFD11}">
  <ds:schemaRefs/>
</ds:datastoreItem>
</file>

<file path=customXml/itemProps25.xml><?xml version="1.0" encoding="utf-8"?>
<ds:datastoreItem xmlns:ds="http://schemas.openxmlformats.org/officeDocument/2006/customXml" ds:itemID="{DE5CC4B3-0DA6-4A77-B0E1-1D09ECA9A95E}">
  <ds:schemaRefs/>
</ds:datastoreItem>
</file>

<file path=customXml/itemProps26.xml><?xml version="1.0" encoding="utf-8"?>
<ds:datastoreItem xmlns:ds="http://schemas.openxmlformats.org/officeDocument/2006/customXml" ds:itemID="{D24A032F-BCD4-4B18-B795-E797161CF2B7}">
  <ds:schemaRefs/>
</ds:datastoreItem>
</file>

<file path=customXml/itemProps27.xml><?xml version="1.0" encoding="utf-8"?>
<ds:datastoreItem xmlns:ds="http://schemas.openxmlformats.org/officeDocument/2006/customXml" ds:itemID="{3EF9C6FD-30B7-46CC-B878-4334A461AA26}">
  <ds:schemaRefs/>
</ds:datastoreItem>
</file>

<file path=customXml/itemProps28.xml><?xml version="1.0" encoding="utf-8"?>
<ds:datastoreItem xmlns:ds="http://schemas.openxmlformats.org/officeDocument/2006/customXml" ds:itemID="{33EDD9B3-82C3-401E-A6C1-E27C3CCADB5B}">
  <ds:schemaRefs/>
</ds:datastoreItem>
</file>

<file path=customXml/itemProps29.xml><?xml version="1.0" encoding="utf-8"?>
<ds:datastoreItem xmlns:ds="http://schemas.openxmlformats.org/officeDocument/2006/customXml" ds:itemID="{517537F7-0C34-41C1-8990-A4610B67CF27}">
  <ds:schemaRefs/>
</ds:datastoreItem>
</file>

<file path=customXml/itemProps3.xml><?xml version="1.0" encoding="utf-8"?>
<ds:datastoreItem xmlns:ds="http://schemas.openxmlformats.org/officeDocument/2006/customXml" ds:itemID="{744CD7D2-AE4D-46D6-AB9F-D56380923BE5}">
  <ds:schemaRefs/>
</ds:datastoreItem>
</file>

<file path=customXml/itemProps30.xml><?xml version="1.0" encoding="utf-8"?>
<ds:datastoreItem xmlns:ds="http://schemas.openxmlformats.org/officeDocument/2006/customXml" ds:itemID="{AF16C3E0-ABAF-4B44-819B-9C74A25AA695}">
  <ds:schemaRefs/>
</ds:datastoreItem>
</file>

<file path=customXml/itemProps31.xml><?xml version="1.0" encoding="utf-8"?>
<ds:datastoreItem xmlns:ds="http://schemas.openxmlformats.org/officeDocument/2006/customXml" ds:itemID="{A3DFBFF4-F815-4BD2-B4B8-65081014339C}">
  <ds:schemaRefs/>
</ds:datastoreItem>
</file>

<file path=customXml/itemProps32.xml><?xml version="1.0" encoding="utf-8"?>
<ds:datastoreItem xmlns:ds="http://schemas.openxmlformats.org/officeDocument/2006/customXml" ds:itemID="{A4516468-356C-41C0-BC4D-B75A3F29C149}">
  <ds:schemaRefs/>
</ds:datastoreItem>
</file>

<file path=customXml/itemProps33.xml><?xml version="1.0" encoding="utf-8"?>
<ds:datastoreItem xmlns:ds="http://schemas.openxmlformats.org/officeDocument/2006/customXml" ds:itemID="{23F6349B-2F6A-4B6B-A282-9276C9598D15}">
  <ds:schemaRefs/>
</ds:datastoreItem>
</file>

<file path=customXml/itemProps34.xml><?xml version="1.0" encoding="utf-8"?>
<ds:datastoreItem xmlns:ds="http://schemas.openxmlformats.org/officeDocument/2006/customXml" ds:itemID="{F10DC084-8111-4607-BEFC-48D5CB92CBEF}">
  <ds:schemaRefs/>
</ds:datastoreItem>
</file>

<file path=customXml/itemProps35.xml><?xml version="1.0" encoding="utf-8"?>
<ds:datastoreItem xmlns:ds="http://schemas.openxmlformats.org/officeDocument/2006/customXml" ds:itemID="{55C1A5D4-A1F3-4C86-B94B-51564187986B}">
  <ds:schemaRefs/>
</ds:datastoreItem>
</file>

<file path=customXml/itemProps36.xml><?xml version="1.0" encoding="utf-8"?>
<ds:datastoreItem xmlns:ds="http://schemas.openxmlformats.org/officeDocument/2006/customXml" ds:itemID="{6B4DB2E0-F4CC-404D-8E1A-2B825446258B}">
  <ds:schemaRefs/>
</ds:datastoreItem>
</file>

<file path=customXml/itemProps37.xml><?xml version="1.0" encoding="utf-8"?>
<ds:datastoreItem xmlns:ds="http://schemas.openxmlformats.org/officeDocument/2006/customXml" ds:itemID="{BCAE4B49-D841-4501-B212-4A8945CA8D9A}">
  <ds:schemaRefs/>
</ds:datastoreItem>
</file>

<file path=customXml/itemProps38.xml><?xml version="1.0" encoding="utf-8"?>
<ds:datastoreItem xmlns:ds="http://schemas.openxmlformats.org/officeDocument/2006/customXml" ds:itemID="{A595AB83-E7EC-4106-A3BC-5A37D7DCF238}">
  <ds:schemaRefs/>
</ds:datastoreItem>
</file>

<file path=customXml/itemProps39.xml><?xml version="1.0" encoding="utf-8"?>
<ds:datastoreItem xmlns:ds="http://schemas.openxmlformats.org/officeDocument/2006/customXml" ds:itemID="{9FC79DEB-7F4F-427C-A53E-855441A33906}">
  <ds:schemaRefs/>
</ds:datastoreItem>
</file>

<file path=customXml/itemProps4.xml><?xml version="1.0" encoding="utf-8"?>
<ds:datastoreItem xmlns:ds="http://schemas.openxmlformats.org/officeDocument/2006/customXml" ds:itemID="{7BB6C7EB-75DA-49B6-B001-13D2592CEAF8}">
  <ds:schemaRefs/>
</ds:datastoreItem>
</file>

<file path=customXml/itemProps40.xml><?xml version="1.0" encoding="utf-8"?>
<ds:datastoreItem xmlns:ds="http://schemas.openxmlformats.org/officeDocument/2006/customXml" ds:itemID="{587A045F-FC43-4D35-B79A-D541642009F4}">
  <ds:schemaRefs/>
</ds:datastoreItem>
</file>

<file path=customXml/itemProps41.xml><?xml version="1.0" encoding="utf-8"?>
<ds:datastoreItem xmlns:ds="http://schemas.openxmlformats.org/officeDocument/2006/customXml" ds:itemID="{CED009E4-0A8C-4061-8870-28AFB2935BAB}">
  <ds:schemaRefs/>
</ds:datastoreItem>
</file>

<file path=customXml/itemProps42.xml><?xml version="1.0" encoding="utf-8"?>
<ds:datastoreItem xmlns:ds="http://schemas.openxmlformats.org/officeDocument/2006/customXml" ds:itemID="{11CAE6B2-1138-4174-A4B3-FAF33E20C424}">
  <ds:schemaRefs/>
</ds:datastoreItem>
</file>

<file path=customXml/itemProps43.xml><?xml version="1.0" encoding="utf-8"?>
<ds:datastoreItem xmlns:ds="http://schemas.openxmlformats.org/officeDocument/2006/customXml" ds:itemID="{E0B5E3E8-0A0D-4847-B8A8-EBAF68C3FA70}">
  <ds:schemaRefs/>
</ds:datastoreItem>
</file>

<file path=customXml/itemProps44.xml><?xml version="1.0" encoding="utf-8"?>
<ds:datastoreItem xmlns:ds="http://schemas.openxmlformats.org/officeDocument/2006/customXml" ds:itemID="{E836833C-F889-45FD-B7FE-40208B3916D4}">
  <ds:schemaRefs/>
</ds:datastoreItem>
</file>

<file path=customXml/itemProps45.xml><?xml version="1.0" encoding="utf-8"?>
<ds:datastoreItem xmlns:ds="http://schemas.openxmlformats.org/officeDocument/2006/customXml" ds:itemID="{93927AA1-588B-4A8E-A4A3-B9D4424EC79E}">
  <ds:schemaRefs/>
</ds:datastoreItem>
</file>

<file path=customXml/itemProps46.xml><?xml version="1.0" encoding="utf-8"?>
<ds:datastoreItem xmlns:ds="http://schemas.openxmlformats.org/officeDocument/2006/customXml" ds:itemID="{046DBE0C-5544-4D47-A079-1110319226A1}">
  <ds:schemaRefs/>
</ds:datastoreItem>
</file>

<file path=customXml/itemProps47.xml><?xml version="1.0" encoding="utf-8"?>
<ds:datastoreItem xmlns:ds="http://schemas.openxmlformats.org/officeDocument/2006/customXml" ds:itemID="{9012BB13-D3A7-479C-8F07-ED229B87B750}">
  <ds:schemaRefs/>
</ds:datastoreItem>
</file>

<file path=customXml/itemProps48.xml><?xml version="1.0" encoding="utf-8"?>
<ds:datastoreItem xmlns:ds="http://schemas.openxmlformats.org/officeDocument/2006/customXml" ds:itemID="{FF140F30-DE79-45EE-91EF-9D6046E433E4}">
  <ds:schemaRefs/>
</ds:datastoreItem>
</file>

<file path=customXml/itemProps49.xml><?xml version="1.0" encoding="utf-8"?>
<ds:datastoreItem xmlns:ds="http://schemas.openxmlformats.org/officeDocument/2006/customXml" ds:itemID="{6DFCAD69-90E8-4095-97C6-F413E009C8A8}">
  <ds:schemaRefs/>
</ds:datastoreItem>
</file>

<file path=customXml/itemProps5.xml><?xml version="1.0" encoding="utf-8"?>
<ds:datastoreItem xmlns:ds="http://schemas.openxmlformats.org/officeDocument/2006/customXml" ds:itemID="{EBB41E21-D87A-41EC-A918-6C7DC725138D}">
  <ds:schemaRefs/>
</ds:datastoreItem>
</file>

<file path=customXml/itemProps50.xml><?xml version="1.0" encoding="utf-8"?>
<ds:datastoreItem xmlns:ds="http://schemas.openxmlformats.org/officeDocument/2006/customXml" ds:itemID="{8C4D08F1-C9A0-4695-93BA-C62C456FDA41}">
  <ds:schemaRefs/>
</ds:datastoreItem>
</file>

<file path=customXml/itemProps51.xml><?xml version="1.0" encoding="utf-8"?>
<ds:datastoreItem xmlns:ds="http://schemas.openxmlformats.org/officeDocument/2006/customXml" ds:itemID="{0303914E-9583-4919-BEFD-D5C277455FF3}">
  <ds:schemaRefs/>
</ds:datastoreItem>
</file>

<file path=customXml/itemProps52.xml><?xml version="1.0" encoding="utf-8"?>
<ds:datastoreItem xmlns:ds="http://schemas.openxmlformats.org/officeDocument/2006/customXml" ds:itemID="{EA27D4E6-4AF4-436B-958C-D34CD27AB1E5}">
  <ds:schemaRefs/>
</ds:datastoreItem>
</file>

<file path=customXml/itemProps53.xml><?xml version="1.0" encoding="utf-8"?>
<ds:datastoreItem xmlns:ds="http://schemas.openxmlformats.org/officeDocument/2006/customXml" ds:itemID="{13F08D77-901E-41A2-A44F-B8FA8AAEBC64}">
  <ds:schemaRefs/>
</ds:datastoreItem>
</file>

<file path=customXml/itemProps54.xml><?xml version="1.0" encoding="utf-8"?>
<ds:datastoreItem xmlns:ds="http://schemas.openxmlformats.org/officeDocument/2006/customXml" ds:itemID="{50A0A316-429C-4BD7-B864-B9B274A638BF}">
  <ds:schemaRefs/>
</ds:datastoreItem>
</file>

<file path=customXml/itemProps6.xml><?xml version="1.0" encoding="utf-8"?>
<ds:datastoreItem xmlns:ds="http://schemas.openxmlformats.org/officeDocument/2006/customXml" ds:itemID="{31B22F4A-31CE-4684-ACF0-B10F401B50CF}">
  <ds:schemaRefs/>
</ds:datastoreItem>
</file>

<file path=customXml/itemProps7.xml><?xml version="1.0" encoding="utf-8"?>
<ds:datastoreItem xmlns:ds="http://schemas.openxmlformats.org/officeDocument/2006/customXml" ds:itemID="{AFFD5E9D-A424-4616-9331-D8981F710E8A}">
  <ds:schemaRefs/>
</ds:datastoreItem>
</file>

<file path=customXml/itemProps8.xml><?xml version="1.0" encoding="utf-8"?>
<ds:datastoreItem xmlns:ds="http://schemas.openxmlformats.org/officeDocument/2006/customXml" ds:itemID="{4BE1B7ED-36A6-45BB-BE09-7714CEBF3970}">
  <ds:schemaRefs/>
</ds:datastoreItem>
</file>

<file path=customXml/itemProps9.xml><?xml version="1.0" encoding="utf-8"?>
<ds:datastoreItem xmlns:ds="http://schemas.openxmlformats.org/officeDocument/2006/customXml" ds:itemID="{C4BCD2CE-DE29-4592-AE26-27262141EC8C}">
  <ds:schemaRefs/>
</ds:datastoreItem>
</file>

<file path=docProps/app.xml><?xml version="1.0" encoding="utf-8"?>
<Properties xmlns="http://schemas.openxmlformats.org/officeDocument/2006/extended-properties" xmlns:vt="http://schemas.openxmlformats.org/officeDocument/2006/docPropsVTypes">
  <Template>Normal</Template>
  <Pages>36</Pages>
  <Words>13346</Words>
  <Characters>15342</Characters>
  <Lines>150</Lines>
  <Paragraphs>42</Paragraphs>
  <TotalTime>16</TotalTime>
  <ScaleCrop>false</ScaleCrop>
  <LinksUpToDate>false</LinksUpToDate>
  <CharactersWithSpaces>15568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2022-03-04T12:20:00Z</dcterms:created>
  <dc:creator>lenovo</dc:creator>
  <cp:lastModifiedBy>孙士勇</cp:lastModifiedBy>
  <dcterms:modified xsi:type="dcterms:W3CDTF">2023-08-01T07:31:34Z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9C708B16A7C74B689D20B67DC301AC43_12</vt:lpwstr>
  </property>
</Properties>
</file>